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7047230" cy="5478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7878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802"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Clark Moore</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720"/>
        <w:spacing w:after="0" w:line="344" w:lineRule="auto"/>
        <w:rPr>
          <w:sz w:val="20"/>
          <w:szCs w:val="20"/>
          <w:color w:val="auto"/>
        </w:rPr>
      </w:pPr>
      <w:r>
        <w:rPr>
          <w:rFonts w:ascii="Times New Roman" w:cs="Times New Roman" w:eastAsia="Times New Roman" w:hAnsi="Times New Roman"/>
          <w:sz w:val="15"/>
          <w:szCs w:val="15"/>
          <w:color w:val="0000FF"/>
        </w:rPr>
        <w:t>575 N. DAIRY ASHFORD ENERGY CENTER II, SUITE 210</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PEDEVCO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PED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6" w:right="680" w:firstLine="6"/>
        <w:spacing w:after="0" w:line="252"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34"/>
        <w:spacing w:after="0"/>
        <w:rPr>
          <w:sz w:val="20"/>
          <w:szCs w:val="20"/>
          <w:color w:val="auto"/>
        </w:rPr>
      </w:pPr>
      <w:r>
        <w:rPr>
          <w:rFonts w:ascii="Times New Roman" w:cs="Times New Roman" w:eastAsia="Times New Roman" w:hAnsi="Times New Roman"/>
          <w:sz w:val="17"/>
          <w:szCs w:val="17"/>
          <w:color w:val="0000FF"/>
        </w:rPr>
        <w:t>Executive VP</w:t>
      </w:r>
    </w:p>
    <w:p>
      <w:pPr>
        <w:spacing w:after="0" w:line="427" w:lineRule="exact"/>
        <w:rPr>
          <w:sz w:val="24"/>
          <w:szCs w:val="24"/>
          <w:color w:val="auto"/>
        </w:rPr>
      </w:pPr>
    </w:p>
    <w:p>
      <w:pPr>
        <w:sectPr>
          <w:pgSz w:w="11900" w:h="16838" w:orient="portrait"/>
          <w:cols w:equalWidth="0" w:num="3">
            <w:col w:w="3180" w:space="720"/>
            <w:col w:w="3106" w:space="720"/>
            <w:col w:w="3354"/>
          </w:cols>
          <w:pgMar w:left="460" w:top="216" w:right="359" w:bottom="802"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700" w:type="dxa"/>
            <w:vAlign w:val="bottom"/>
            <w:gridSpan w:val="7"/>
          </w:tcPr>
          <w:p>
            <w:pPr>
              <w:ind w:left="140"/>
              <w:spacing w:after="0" w:line="108"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9"/>
          </w:tcPr>
          <w:p>
            <w:pPr>
              <w:ind w:left="260"/>
              <w:spacing w:after="0" w:line="108"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3"/>
              </w:rPr>
              <w:t>HOUSTON</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77079</w:t>
            </w: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880" w:type="dxa"/>
            <w:vAlign w:val="bottom"/>
            <w:gridSpan w:val="3"/>
          </w:tcPr>
          <w:p>
            <w:pPr>
              <w:ind w:left="12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2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jc w:val="right"/>
              <w:ind w:right="162"/>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73,225</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gridSpan w:val="3"/>
            <w:vMerge w:val="restart"/>
          </w:tcPr>
          <w:p>
            <w:pPr>
              <w:jc w:val="right"/>
              <w:ind w:right="442"/>
              <w:spacing w:after="0"/>
              <w:rPr>
                <w:sz w:val="20"/>
                <w:szCs w:val="20"/>
                <w:color w:val="auto"/>
              </w:rPr>
            </w:pPr>
            <w:r>
              <w:rPr>
                <w:rFonts w:ascii="Times New Roman" w:cs="Times New Roman" w:eastAsia="Times New Roman" w:hAnsi="Times New Roman"/>
                <w:sz w:val="17"/>
                <w:szCs w:val="17"/>
                <w:color w:val="0000FF"/>
              </w:rPr>
              <w:t>143</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minor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12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40" w:type="dxa"/>
            <w:vAlign w:val="bottom"/>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2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   of</w:t>
            </w:r>
          </w:p>
        </w:tc>
        <w:tc>
          <w:tcPr>
            <w:tcW w:w="360" w:type="dxa"/>
            <w:vAlign w:val="bottom"/>
          </w:tcPr>
          <w:p>
            <w:pPr>
              <w:spacing w:after="0"/>
              <w:rPr>
                <w:sz w:val="11"/>
                <w:szCs w:val="11"/>
                <w:color w:val="auto"/>
              </w:rPr>
            </w:pP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20" w:type="dxa"/>
            <w:vAlign w:val="bottom"/>
          </w:tcPr>
          <w:p>
            <w:pPr>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06/22/2026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0000FF"/>
              </w:rPr>
              <w:t>18,950</w:t>
            </w:r>
          </w:p>
        </w:tc>
        <w:tc>
          <w:tcPr>
            <w:tcW w:w="36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0000FF"/>
                <w:w w:val="98"/>
              </w:rPr>
              <w:t>18,950</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jc w:val="right"/>
              <w:ind w:right="223"/>
              <w:spacing w:after="0"/>
              <w:rPr>
                <w:sz w:val="20"/>
                <w:szCs w:val="20"/>
                <w:color w:val="auto"/>
              </w:rPr>
            </w:pPr>
            <w:r>
              <w:rPr>
                <w:rFonts w:ascii="Times New Roman" w:cs="Times New Roman" w:eastAsia="Times New Roman" w:hAnsi="Times New Roman"/>
                <w:sz w:val="13"/>
                <w:szCs w:val="13"/>
                <w:color w:val="0000FF"/>
              </w:rPr>
              <w:t>18,950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jc w:val="right"/>
              <w:ind w:right="162"/>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06/22/2026</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3"/>
                <w:szCs w:val="13"/>
                <w:color w:val="0000FF"/>
              </w:rPr>
              <w:t>5,270</w:t>
            </w:r>
          </w:p>
        </w:tc>
        <w:tc>
          <w:tcPr>
            <w:tcW w:w="3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center"/>
              <w:spacing w:after="0" w:line="204" w:lineRule="exact"/>
              <w:rPr>
                <w:sz w:val="20"/>
                <w:szCs w:val="20"/>
                <w:color w:val="auto"/>
              </w:rPr>
            </w:pPr>
            <w:r>
              <w:rPr>
                <w:rFonts w:ascii="Times New Roman" w:cs="Times New Roman" w:eastAsia="Times New Roman" w:hAnsi="Times New Roman"/>
                <w:sz w:val="17"/>
                <w:szCs w:val="17"/>
                <w:color w:val="0000FF"/>
                <w:w w:val="87"/>
              </w:rPr>
              <w:t>5,270</w:t>
            </w:r>
            <w:r>
              <w:rPr>
                <w:rFonts w:ascii="Times New Roman" w:cs="Times New Roman" w:eastAsia="Times New Roman" w:hAnsi="Times New Roman"/>
                <w:sz w:val="21"/>
                <w:szCs w:val="21"/>
                <w:color w:val="008000"/>
                <w:w w:val="87"/>
                <w:vertAlign w:val="superscript"/>
              </w:rPr>
              <w:t>(6)</w:t>
            </w:r>
          </w:p>
        </w:tc>
        <w:tc>
          <w:tcPr>
            <w:tcW w:w="72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5,270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Restricted</w:t>
            </w: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jc w:val="right"/>
              <w:ind w:right="162"/>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 Unit</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owned by Reporting Persons minor child.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at vesting and upon settlement, one share of common stock.</w:t>
      </w:r>
    </w:p>
    <w:p>
      <w:pPr>
        <w:spacing w:after="0" w:line="41" w:lineRule="exact"/>
        <w:rPr>
          <w:rFonts w:ascii="Times New Roman" w:cs="Times New Roman" w:eastAsia="Times New Roman" w:hAnsi="Times New Roman"/>
          <w:sz w:val="13"/>
          <w:szCs w:val="13"/>
          <w:color w:val="008000"/>
        </w:rPr>
      </w:pPr>
    </w:p>
    <w:p>
      <w:pPr>
        <w:ind w:left="40" w:right="2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represents the contingent right to receive, at vesting and upon settlement, shares of common stock of the Issuer. The actual number of shares issuable upon vesting may range from 0% to 200% of the target award based upon the level of achievement of the applicable performance criteria.</w:t>
      </w:r>
    </w:p>
    <w:p>
      <w:pPr>
        <w:spacing w:after="0" w:line="20" w:lineRule="exact"/>
        <w:rPr>
          <w:rFonts w:ascii="Times New Roman" w:cs="Times New Roman" w:eastAsia="Times New Roman" w:hAnsi="Times New Roman"/>
          <w:sz w:val="13"/>
          <w:szCs w:val="13"/>
          <w:color w:val="008000"/>
        </w:rPr>
      </w:pPr>
    </w:p>
    <w:p>
      <w:pPr>
        <w:jc w:val="both"/>
        <w:ind w:left="40" w:right="2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vest, if at all, at the rate of (i) 1/3 of the total number of RSUs on the one (1) year anniversary of the January 1, 2026 vesting commencement date (the -VCD-); (ii) 1/3 of the total number of RSUs on the two (2) year anniversary of the VCD; and (iii) 1/3 of the total number of RSUs on the three (3) year anniversary of the VCD, subject to the Reporting Persons continued service to the Company on such vesting dates, and subject to the terms and conditions of a Restricted Stock Unit Award Grant Agreement entered into between the Company and the Reporting Person. RSUs do not expire; they either vest or are forfeited prior to vesting date. Issued under the Issuers 2021 Equity Incentive Plan.</w:t>
      </w:r>
    </w:p>
    <w:p>
      <w:pPr>
        <w:spacing w:after="0" w:line="26" w:lineRule="exact"/>
        <w:rPr>
          <w:rFonts w:ascii="Times New Roman" w:cs="Times New Roman" w:eastAsia="Times New Roman" w:hAnsi="Times New Roman"/>
          <w:sz w:val="13"/>
          <w:szCs w:val="13"/>
          <w:color w:val="008000"/>
        </w:rPr>
      </w:pPr>
    </w:p>
    <w:p>
      <w:pPr>
        <w:ind w:left="40" w:right="18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Performance-Based Restricted Stock Units (PBRSUs), which PBRSUs will be earned based on the performance metrics applicable to the Issuers performance-based equity award program previously approved for management for the fiscal 2026 through fiscal 2028 performance period, which generally provide for the cliff-vesting of 100% of the PBRSUs on December 31, 2028, subject to the Reporting Persons continued service through that date and based on the Issuers total shareholder return (TSR) over the period, with payout ranging from 0% to 200% of target based on relative TSR percentile ranking against a defined peer group, and further subject to the terms and conditions of a Performance-Based Restricted Stock Unit Award Grant Agreement entered into between the Issuer and the Reporting Person. PBRSUs do not expire; they either vest or are forfeited prior to vesting. Issued under the Issuers 2021 Equity Incentive Plan.</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Target number of shares is reported. Possible payout ranges from 0% to 200%, based on the level of achievement of the applicable performance criteria during the applicable performance period.</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Clark Moore</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06/23/2026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4740" TargetMode="External"/><Relationship Id="rId14" Type="http://schemas.openxmlformats.org/officeDocument/2006/relationships/hyperlink" Target="http://www.sec.gov/cgi-bin/browse-edgar?action=getcompany&amp;CIK=0001141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2026-06-23T17:12:31Z</dcterms:created>
  <dcterms:modified xsi:type="dcterms:W3CDTF">2026-06-23T17:12:31Z</dcterms:modified>
</cp:coreProperties>
</file>