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553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5321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Schick John Douglas</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740"/>
        <w:spacing w:after="0" w:line="337" w:lineRule="auto"/>
        <w:rPr>
          <w:sz w:val="20"/>
          <w:szCs w:val="20"/>
          <w:color w:val="auto"/>
        </w:rPr>
      </w:pPr>
      <w:r>
        <w:rPr>
          <w:rFonts w:ascii="Times New Roman" w:cs="Times New Roman" w:eastAsia="Times New Roman" w:hAnsi="Times New Roman"/>
          <w:sz w:val="16"/>
          <w:szCs w:val="16"/>
          <w:color w:val="0000FF"/>
        </w:rPr>
        <w:t>575 N. DAIRY ASHFORD ENERGY CENTER II, SUITE 210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PEDEVCO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PED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409"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77079</w:t>
            </w:r>
          </w:p>
        </w:tc>
      </w:tr>
      <w:tr>
        <w:trPr>
          <w:trHeight w:val="144"/>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0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color w:val="0000FF"/>
              </w:rPr>
              <w:t>169,987</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ind w:right="262"/>
              <w:spacing w:after="0"/>
              <w:rPr>
                <w:sz w:val="20"/>
                <w:szCs w:val="20"/>
                <w:color w:val="auto"/>
              </w:rPr>
            </w:pPr>
            <w:r>
              <w:rPr>
                <w:rFonts w:ascii="Times New Roman" w:cs="Times New Roman" w:eastAsia="Times New Roman" w:hAnsi="Times New Roman"/>
                <w:sz w:val="16"/>
                <w:szCs w:val="16"/>
                <w:color w:val="0000FF"/>
              </w:rPr>
              <w:t>22,727</w:t>
            </w:r>
            <w:r>
              <w:rPr>
                <w:rFonts w:ascii="Times New Roman" w:cs="Times New Roman" w:eastAsia="Times New Roman" w:hAnsi="Times New Roman"/>
                <w:sz w:val="20"/>
                <w:szCs w:val="20"/>
                <w:color w:val="008000"/>
                <w:vertAlign w:val="superscript"/>
              </w:rPr>
              <w:t>(1)</w:t>
            </w: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American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Resources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6"/>
                <w:szCs w:val="16"/>
                <w:color w:val="0000FF"/>
              </w:rPr>
              <w:t>Inc.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0"/>
          </w:tcPr>
          <w:p>
            <w:pPr>
              <w:jc w:val="right"/>
              <w:ind w:right="2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0"/>
                <w:szCs w:val="10"/>
                <w:color w:val="auto"/>
              </w:rPr>
            </w:pP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w w:val="99"/>
              </w:rPr>
              <w:t>(Month/Day/Year)</w:t>
            </w: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5"/>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06/22/2026</w:t>
            </w:r>
          </w:p>
        </w:tc>
        <w:tc>
          <w:tcPr>
            <w:tcW w:w="112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22,830</w:t>
            </w:r>
          </w:p>
        </w:tc>
        <w:tc>
          <w:tcPr>
            <w:tcW w:w="32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color w:val="0000FF"/>
              </w:rPr>
              <w:t>22,830</w:t>
            </w:r>
          </w:p>
        </w:tc>
        <w:tc>
          <w:tcPr>
            <w:tcW w:w="4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22,830</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0000FF"/>
              </w:rPr>
              <w:t>06/22/2026</w:t>
            </w:r>
          </w:p>
        </w:tc>
        <w:tc>
          <w:tcPr>
            <w:tcW w:w="112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15,220</w:t>
            </w:r>
          </w:p>
        </w:tc>
        <w:tc>
          <w:tcPr>
            <w:tcW w:w="32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tcPr>
          <w:p>
            <w:pPr>
              <w:jc w:val="center"/>
              <w:spacing w:after="0" w:line="202" w:lineRule="exact"/>
              <w:rPr>
                <w:sz w:val="20"/>
                <w:szCs w:val="20"/>
                <w:color w:val="auto"/>
              </w:rPr>
            </w:pPr>
            <w:r>
              <w:rPr>
                <w:rFonts w:ascii="Times New Roman" w:cs="Times New Roman" w:eastAsia="Times New Roman" w:hAnsi="Times New Roman"/>
                <w:sz w:val="16"/>
                <w:szCs w:val="16"/>
                <w:color w:val="0000FF"/>
              </w:rPr>
              <w:t>15,220</w:t>
            </w:r>
            <w:r>
              <w:rPr>
                <w:rFonts w:ascii="Times New Roman" w:cs="Times New Roman" w:eastAsia="Times New Roman" w:hAnsi="Times New Roman"/>
                <w:sz w:val="20"/>
                <w:szCs w:val="20"/>
                <w:color w:val="008000"/>
                <w:vertAlign w:val="superscript"/>
              </w:rPr>
              <w:t>(7)</w:t>
            </w:r>
          </w:p>
        </w:tc>
        <w:tc>
          <w:tcPr>
            <w:tcW w:w="4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15,220</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Restricted</w:t>
            </w: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ind w:left="18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4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Except to the extent of his pecuniary interest therein this report shall not be deemed an admission that the Reporting Person is the beneficial owner of these securities for purposes of Section 16 or for any other purpose.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American Resources Inc., is owned and controlled by the Reporting Person, and as such the Reporting Person may be deemed to be beneficially owned the securities held by American Resources Inc.</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at vesting and upon settlement, one share of common stock.</w:t>
      </w:r>
    </w:p>
    <w:p>
      <w:pPr>
        <w:spacing w:after="0" w:line="39" w:lineRule="exact"/>
        <w:rPr>
          <w:rFonts w:ascii="Times New Roman" w:cs="Times New Roman" w:eastAsia="Times New Roman" w:hAnsi="Times New Roman"/>
          <w:sz w:val="13"/>
          <w:szCs w:val="13"/>
          <w:color w:val="008000"/>
        </w:rPr>
      </w:pPr>
    </w:p>
    <w:p>
      <w:pPr>
        <w:ind w:left="40" w:right="3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represents the contingent right to receive, at vesting and upon settlement, shares of common stock of the Issuer. The actual number of shares issuable upon vesting may range from 0% to 200% of the target award based upon the level of achievement of the applicable performance criteria.</w:t>
      </w:r>
    </w:p>
    <w:p>
      <w:pPr>
        <w:spacing w:after="0" w:line="21" w:lineRule="exact"/>
        <w:rPr>
          <w:rFonts w:ascii="Times New Roman" w:cs="Times New Roman" w:eastAsia="Times New Roman" w:hAnsi="Times New Roman"/>
          <w:sz w:val="13"/>
          <w:szCs w:val="13"/>
          <w:color w:val="008000"/>
        </w:rPr>
      </w:pPr>
    </w:p>
    <w:p>
      <w:pPr>
        <w:ind w:left="40" w:right="220" w:hanging="1"/>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vest, if at all, at the rate of (i) 1/3 of the total number of RSUs on the one (1) year anniversary of the January 1, 2026 vesting commencement date (the VCD); (ii) 1/3 of the total number of RSUs on the two (2) year anniversary of the VCD; and (iii) 1/3 of the total number of RSUs on the three (3) year anniversary of the VCD, subject to the Reporting Persons continued service to the Company on such vesting dates, and subject to the terms and conditions of a Restricted Stock Unit Award Grant Agreement entered into between the Company and the Reporting Person. RSUs do not expire; they either vest or are forfeited prior to vesting date. Issued under the Issuers 2021 Equity Incentive Plan.</w:t>
      </w:r>
    </w:p>
    <w:p>
      <w:pPr>
        <w:spacing w:after="0" w:line="26" w:lineRule="exact"/>
        <w:rPr>
          <w:rFonts w:ascii="Times New Roman" w:cs="Times New Roman" w:eastAsia="Times New Roman" w:hAnsi="Times New Roman"/>
          <w:sz w:val="13"/>
          <w:szCs w:val="13"/>
          <w:color w:val="008000"/>
        </w:rPr>
      </w:pPr>
    </w:p>
    <w:p>
      <w:pPr>
        <w:ind w:left="40" w:right="140" w:hanging="1"/>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Restricted Stock Units (PBRSUs), which PBRSUs will be earned based on the performance metrics applicable to the Issuers performance-based equity award program previously approved for management for the fiscal 2026 through fiscal 2028 performance period, which generally provide for the cliff-vesting of 100% of the PBRSUs on December 31, 2028, subject to the Reporting Persons continued service through that date and based on the Issuers total shareholder return (TSR) over the period, with payout ranging from 0% to 200% of target based on relative TSR percentile ranking against a defined peer group, and further subject to the terms and conditions of a Performance-Based Restricted Stock Unit Award Grant Agreement entered into between the Issuer and the Reporting Person. PBRSUs do not expire; they either vest or are forfeited prior to vesting. Issued under the Issuer's 2021 Equity Incentive Plan.</w:t>
      </w:r>
    </w:p>
    <w:p>
      <w:pPr>
        <w:spacing w:after="0" w:line="27"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Target number of shares is reported. Possible payout ranges from 0% to 200%, based on the level of achievement of the applicable performance criteria during the applicable performance period.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Power of Attorney filed as Exhibit 24.1 to the Form 4 filed by Reporting Person on January 15, 2020.</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Clark R. Moore, attorney-in-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J. Douglas Schick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077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759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8134" TargetMode="External"/><Relationship Id="rId14" Type="http://schemas.openxmlformats.org/officeDocument/2006/relationships/hyperlink" Target="http://www.sec.gov/cgi-bin/browse-edgar?action=getcompany&amp;CIK=0001141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2026-06-23T17:06:55Z</dcterms:created>
  <dcterms:modified xsi:type="dcterms:W3CDTF">2026-06-23T17:06:55Z</dcterms:modified>
</cp:coreProperties>
</file>