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FORM 8-K</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CURRENT REPORT</w:t>
      </w:r>
    </w:p>
    <w:p>
      <w:pPr>
        <w:pStyle w:val="TextBody"/>
        <w:bidi w:val="0"/>
        <w:spacing w:before="0" w:after="0"/>
        <w:ind w:left="0" w:right="0" w:hanging="0"/>
        <w:jc w:val="center"/>
        <w:rPr>
          <w:rFonts w:ascii="times new roman" w:hAnsi="times new roman"/>
          <w:sz w:val="20"/>
        </w:rPr>
      </w:pPr>
      <w:r>
        <w:rPr>
          <w:rFonts w:ascii="times new roman" w:hAnsi="times new roman"/>
          <w:sz w:val="20"/>
        </w:rPr>
        <w:t>PURSUANT TO SECTION 13 OR 15(D) OF THE SECURITIES EXCHANGE ACT OF 1934</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Fonts w:ascii="times new roman" w:hAnsi="times new roman"/>
          <w:sz w:val="20"/>
        </w:rPr>
        <w:t>Date of Report (Date of Earliest Event Reported): </w:t>
      </w:r>
      <w:r>
        <w:rPr>
          <w:rStyle w:val="StrongEmphasis"/>
          <w:rFonts w:ascii="times new roman" w:hAnsi="times new roman"/>
          <w:sz w:val="20"/>
          <w:u w:val="single"/>
        </w:rPr>
        <w:t>August 13, 2026</w:t>
      </w:r>
    </w:p>
    <w:p>
      <w:pPr>
        <w:pStyle w:val="TextBody"/>
        <w:bidi w:val="0"/>
        <w:spacing w:before="0" w:after="0"/>
        <w:ind w:left="0" w:right="0" w:hanging="0"/>
        <w:jc w:val="center"/>
        <w:rPr/>
      </w:pPr>
      <w:r>
        <w:rPr/>
        <w:t> </w:t>
      </w:r>
    </w:p>
    <w:tbl>
      <w:tblPr>
        <w:tblW w:w="4460" w:type="dxa"/>
        <w:jc w:val="left"/>
        <w:tblInd w:w="0" w:type="dxa"/>
        <w:tblLayout w:type="fixed"/>
        <w:tblCellMar>
          <w:top w:w="0" w:type="dxa"/>
          <w:left w:w="0" w:type="dxa"/>
          <w:bottom w:w="28" w:type="dxa"/>
          <w:right w:w="0" w:type="dxa"/>
        </w:tblCellMar>
      </w:tblPr>
      <w:tblGrid>
        <w:gridCol w:w="4460"/>
      </w:tblGrid>
      <w:tr>
        <w:trPr/>
        <w:tc>
          <w:tcPr>
            <w:tcW w:w="44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4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(Exact name of registrant as specified in its charter)</w:t>
            </w:r>
          </w:p>
        </w:tc>
      </w:tr>
    </w:tbl>
    <w:p>
      <w:pPr>
        <w:pStyle w:val="TextBody"/>
        <w:bidi w:val="0"/>
        <w:spacing w:before="0" w:after="0"/>
        <w:ind w:left="0" w:right="0" w:hanging="0"/>
        <w:jc w:val="both"/>
        <w:rPr/>
      </w:pPr>
      <w:r>
        <w:rPr/>
        <w:t> </w:t>
      </w:r>
    </w:p>
    <w:tbl>
      <w:tblPr>
        <w:tblW w:w="5655" w:type="dxa"/>
        <w:jc w:val="left"/>
        <w:tblInd w:w="0" w:type="dxa"/>
        <w:tblLayout w:type="fixed"/>
        <w:tblCellMar>
          <w:top w:w="0" w:type="dxa"/>
          <w:left w:w="0" w:type="dxa"/>
          <w:bottom w:w="28" w:type="dxa"/>
          <w:right w:w="0" w:type="dxa"/>
        </w:tblCellMar>
      </w:tblPr>
      <w:tblGrid>
        <w:gridCol w:w="2690"/>
        <w:gridCol w:w="90"/>
        <w:gridCol w:w="1160"/>
        <w:gridCol w:w="90"/>
        <w:gridCol w:w="1625"/>
      </w:tblGrid>
      <w:tr>
        <w:trPr/>
        <w:tc>
          <w:tcPr>
            <w:tcW w:w="269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1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001-35922</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269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(State or other jurisdiction of</w:t>
            </w:r>
            <w:r>
              <w:rPr>
                <w:rFonts w:ascii="times new roman" w:hAnsi="times new roman"/>
                <w:sz w:val="20"/>
              </w:rPr>
              <w:t> </w:t>
            </w:r>
          </w:p>
          <w:p>
            <w:pPr>
              <w:pStyle w:val="TableContents"/>
              <w:bidi w:val="0"/>
              <w:spacing w:before="0" w:after="0"/>
              <w:ind w:left="0" w:right="0" w:hanging="0"/>
              <w:jc w:val="center"/>
              <w:rPr/>
            </w:pPr>
            <w:r>
              <w:rPr>
                <w:rStyle w:val="StrongEmphasis"/>
                <w:rFonts w:ascii="times new roman" w:hAnsi="times new roman"/>
                <w:sz w:val="20"/>
              </w:rPr>
              <w:t>incorporation or organization)</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1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(Commission</w:t>
            </w:r>
          </w:p>
          <w:p>
            <w:pPr>
              <w:pStyle w:val="TableContents"/>
              <w:bidi w:val="0"/>
              <w:spacing w:before="0" w:after="0"/>
              <w:ind w:left="0" w:right="0" w:hanging="0"/>
              <w:jc w:val="center"/>
              <w:rPr/>
            </w:pPr>
            <w:r>
              <w:rPr>
                <w:rStyle w:val="StrongEmphasis"/>
                <w:rFonts w:ascii="times new roman" w:hAnsi="times new roman"/>
                <w:sz w:val="20"/>
              </w:rPr>
              <w:t>file number)</w:t>
            </w:r>
            <w:r>
              <w:rPr>
                <w:rFonts w:ascii="times new roman" w:hAnsi="times new roman"/>
                <w:sz w:val="20"/>
              </w:rPr>
              <w:t> </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(IRS Employer </w:t>
            </w:r>
          </w:p>
          <w:p>
            <w:pPr>
              <w:pStyle w:val="TableContents"/>
              <w:bidi w:val="0"/>
              <w:spacing w:before="0" w:after="0"/>
              <w:ind w:left="0" w:right="0" w:hanging="0"/>
              <w:jc w:val="center"/>
              <w:rPr/>
            </w:pPr>
            <w:r>
              <w:rPr>
                <w:rStyle w:val="StrongEmphasis"/>
                <w:rFonts w:ascii="times new roman" w:hAnsi="times new roman"/>
                <w:sz w:val="20"/>
              </w:rPr>
              <w:t>Identification</w:t>
            </w:r>
            <w:r>
              <w:rPr>
                <w:rFonts w:ascii="times new roman" w:hAnsi="times new roman"/>
                <w:sz w:val="20"/>
              </w:rPr>
              <w:t> </w:t>
            </w:r>
            <w:r>
              <w:rPr>
                <w:rStyle w:val="StrongEmphasis"/>
                <w:rFonts w:ascii="times new roman" w:hAnsi="times new roman"/>
                <w:sz w:val="20"/>
              </w:rPr>
              <w:t>No.)</w:t>
            </w:r>
          </w:p>
        </w:tc>
      </w:tr>
    </w:tbl>
    <w:p>
      <w:pPr>
        <w:pStyle w:val="TextBody"/>
        <w:bidi w:val="0"/>
        <w:spacing w:before="0" w:after="0"/>
        <w:ind w:left="0" w:right="0" w:hanging="0"/>
        <w:jc w:val="center"/>
        <w:rPr/>
      </w:pPr>
      <w:r>
        <w:rPr/>
        <w:t> </w:t>
      </w:r>
    </w:p>
    <w:tbl>
      <w:tblPr>
        <w:tblW w:w="4465" w:type="dxa"/>
        <w:jc w:val="left"/>
        <w:tblInd w:w="0" w:type="dxa"/>
        <w:tblLayout w:type="fixed"/>
        <w:tblCellMar>
          <w:top w:w="0" w:type="dxa"/>
          <w:left w:w="0" w:type="dxa"/>
          <w:bottom w:w="28" w:type="dxa"/>
          <w:right w:w="0" w:type="dxa"/>
        </w:tblCellMar>
      </w:tblPr>
      <w:tblGrid>
        <w:gridCol w:w="3380"/>
        <w:gridCol w:w="90"/>
        <w:gridCol w:w="995"/>
      </w:tblGrid>
      <w:tr>
        <w:trPr/>
        <w:tc>
          <w:tcPr>
            <w:tcW w:w="33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575 N. Dairy Ashford, Suite 210</w:t>
            </w:r>
          </w:p>
          <w:p>
            <w:pPr>
              <w:pStyle w:val="TableContents"/>
              <w:bidi w:val="0"/>
              <w:spacing w:before="0" w:after="0"/>
              <w:ind w:left="0" w:right="0" w:hanging="0"/>
              <w:jc w:val="center"/>
              <w:rPr/>
            </w:pPr>
            <w:r>
              <w:rPr>
                <w:rStyle w:val="StrongEmphasis"/>
                <w:rFonts w:ascii="times new roman" w:hAnsi="times new roman"/>
                <w:sz w:val="20"/>
              </w:rPr>
              <w:t>Houston, Texas</w:t>
            </w:r>
          </w:p>
        </w:tc>
        <w:tc>
          <w:tcPr>
            <w:tcW w:w="90" w:type="dxa"/>
            <w:tcBorders/>
            <w:tcMar>
              <w:bottom w:w="0" w:type="dxa"/>
            </w:tcMar>
            <w:vAlign w:val="center"/>
          </w:tcPr>
          <w:p>
            <w:pPr>
              <w:pStyle w:val="TableContents"/>
              <w:bidi w:val="0"/>
              <w:spacing w:before="0" w:after="0"/>
              <w:ind w:left="0" w:right="0" w:hanging="0"/>
              <w:jc w:val="right"/>
              <w:rPr/>
            </w:pPr>
            <w:r>
              <w:rPr/>
              <w:t> </w:t>
            </w:r>
          </w:p>
        </w:tc>
        <w:tc>
          <w:tcPr>
            <w:tcW w:w="99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77079 </w:t>
            </w:r>
            <w:r>
              <w:rPr>
                <w:rFonts w:ascii="times new roman" w:hAnsi="times new roman"/>
                <w:sz w:val="20"/>
              </w:rPr>
              <w:t> </w:t>
            </w:r>
          </w:p>
        </w:tc>
      </w:tr>
      <w:tr>
        <w:trPr/>
        <w:tc>
          <w:tcPr>
            <w:tcW w:w="3380" w:type="dxa"/>
            <w:tcBorders/>
            <w:tcMar>
              <w:bottom w:w="0" w:type="dxa"/>
            </w:tcMar>
            <w:vAlign w:val="center"/>
          </w:tcPr>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(Address of principal executive offices)</w:t>
            </w:r>
          </w:p>
        </w:tc>
        <w:tc>
          <w:tcPr>
            <w:tcW w:w="90" w:type="dxa"/>
            <w:tcBorders/>
            <w:tcMar>
              <w:bottom w:w="0" w:type="dxa"/>
            </w:tcMar>
            <w:vAlign w:val="center"/>
          </w:tcPr>
          <w:p>
            <w:pPr>
              <w:pStyle w:val="TableContents"/>
              <w:bidi w:val="0"/>
              <w:spacing w:before="0" w:after="0"/>
              <w:ind w:left="0" w:right="0" w:hanging="0"/>
              <w:jc w:val="both"/>
              <w:rPr/>
            </w:pPr>
            <w:r>
              <w:rPr/>
              <w:t> </w:t>
            </w:r>
          </w:p>
        </w:tc>
        <w:tc>
          <w:tcPr>
            <w:tcW w:w="99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Registrant’s telephone number, including area code: </w:t>
      </w:r>
      <w:r>
        <w:rPr>
          <w:rStyle w:val="StrongEmphasis"/>
          <w:rFonts w:ascii="times new roman" w:hAnsi="times new roman"/>
          <w:sz w:val="20"/>
          <w:u w:val="single"/>
        </w:rPr>
        <w:t>(713) 221-1768</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pPr>
      <w:r>
        <w:rPr/>
        <w:t> </w:t>
      </w:r>
    </w:p>
    <w:tbl>
      <w:tblPr>
        <w:tblW w:w="9400" w:type="dxa"/>
        <w:jc w:val="left"/>
        <w:tblInd w:w="0" w:type="dxa"/>
        <w:tblLayout w:type="fixed"/>
        <w:tblCellMar>
          <w:top w:w="0" w:type="dxa"/>
          <w:left w:w="0" w:type="dxa"/>
          <w:bottom w:w="0" w:type="dxa"/>
          <w:right w:w="0" w:type="dxa"/>
        </w:tblCellMar>
      </w:tblPr>
      <w:tblGrid>
        <w:gridCol w:w="275"/>
        <w:gridCol w:w="9125"/>
      </w:tblGrid>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both"/>
        <w:rPr/>
      </w:pPr>
      <w:r>
        <w:rPr/>
        <w:t> </w:t>
      </w:r>
    </w:p>
    <w:tbl>
      <w:tblPr>
        <w:tblW w:w="8955" w:type="dxa"/>
        <w:jc w:val="left"/>
        <w:tblInd w:w="0" w:type="dxa"/>
        <w:tblLayout w:type="fixed"/>
        <w:tblCellMar>
          <w:top w:w="28" w:type="dxa"/>
          <w:left w:w="28" w:type="dxa"/>
          <w:bottom w:w="0" w:type="dxa"/>
          <w:right w:w="0" w:type="dxa"/>
        </w:tblCellMar>
      </w:tblPr>
      <w:tblGrid>
        <w:gridCol w:w="3545"/>
        <w:gridCol w:w="1640"/>
        <w:gridCol w:w="3770"/>
      </w:tblGrid>
      <w:tr>
        <w:trPr/>
        <w:tc>
          <w:tcPr>
            <w:tcW w:w="354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Title of each class</w:t>
            </w:r>
          </w:p>
        </w:tc>
        <w:tc>
          <w:tcPr>
            <w:tcW w:w="164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Trading Symbol(s)</w:t>
            </w:r>
          </w:p>
        </w:tc>
        <w:tc>
          <w:tcPr>
            <w:tcW w:w="377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Name of each exchange on which registered</w:t>
            </w:r>
          </w:p>
        </w:tc>
      </w:tr>
      <w:tr>
        <w:trPr/>
        <w:tc>
          <w:tcPr>
            <w:tcW w:w="354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 par value per share</w:t>
            </w:r>
          </w:p>
        </w:tc>
        <w:tc>
          <w:tcPr>
            <w:tcW w:w="164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PED</w:t>
            </w:r>
          </w:p>
        </w:tc>
        <w:tc>
          <w:tcPr>
            <w:tcW w:w="377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NYSE American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Emerging growth company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Item 2.02 Results of Operations and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August 13, 2026, PEDEVCO Corp. (the "Company") issued a press release announcing its financial results for the three and six months ended June 30, 2026. The press release is furnished as Exhibit 99.1 to this Current Report on Form 8-K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information furnished in this Current Report, including Exhibit 99.1, will not be deemed “filed” for purposes of Section 18 of the Securities Exchange Act of 1934, as amended (the “Exchange Act”), or otherwise subject to the liabilities of that section, and will not be deemed incorporated by reference into any filing under the Securities Act of 1933, as amended, or the Exchange Act, except as expressly set forth by specific reference in such a filing.</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is making reference to non-GAAP financial information in the attached press release and a reconciliation of these non-GAAP financial measures to the comparable GAAP financial measures is contained in the attached press release.</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Item 9.01</w:t>
      </w:r>
      <w:r>
        <w:rPr>
          <w:rFonts w:ascii="times new roman" w:hAnsi="times new roman"/>
          <w:sz w:val="20"/>
        </w:rPr>
        <w:t> </w:t>
      </w:r>
      <w:r>
        <w:rPr>
          <w:rStyle w:val="StrongEmphasis"/>
          <w:rFonts w:ascii="times new roman" w:hAnsi="times new roman"/>
          <w:sz w:val="20"/>
        </w:rPr>
        <w:t>Financial Statements and Exhibits.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 Exhibits</w:t>
      </w:r>
    </w:p>
    <w:p>
      <w:pPr>
        <w:pStyle w:val="TextBody"/>
        <w:bidi w:val="0"/>
        <w:spacing w:before="0" w:after="0"/>
        <w:ind w:left="0" w:right="0" w:hanging="0"/>
        <w:jc w:val="both"/>
        <w:rPr/>
      </w:pPr>
      <w:r>
        <w:rPr/>
        <w:t> </w:t>
      </w:r>
    </w:p>
    <w:tbl>
      <w:tblPr>
        <w:tblW w:w="7210" w:type="dxa"/>
        <w:jc w:val="left"/>
        <w:tblInd w:w="0" w:type="dxa"/>
        <w:tblLayout w:type="fixed"/>
        <w:tblCellMar>
          <w:top w:w="0" w:type="dxa"/>
          <w:left w:w="0" w:type="dxa"/>
          <w:bottom w:w="0" w:type="dxa"/>
          <w:right w:w="0" w:type="dxa"/>
        </w:tblCellMar>
      </w:tblPr>
      <w:tblGrid>
        <w:gridCol w:w="530"/>
        <w:gridCol w:w="90"/>
        <w:gridCol w:w="6590"/>
      </w:tblGrid>
      <w:tr>
        <w:trPr/>
        <w:tc>
          <w:tcPr>
            <w:tcW w:w="530" w:type="dxa"/>
            <w:tcBorders/>
            <w:shd w:fill="CCEEFF" w:val="clear"/>
            <w:vAlign w:val="center"/>
          </w:tcPr>
          <w:p>
            <w:pPr>
              <w:pStyle w:val="TableContents"/>
              <w:bidi w:val="0"/>
              <w:spacing w:before="0" w:after="0"/>
              <w:ind w:left="0" w:right="0" w:hanging="0"/>
              <w:jc w:val="left"/>
              <w:rPr/>
            </w:pPr>
            <w:hyperlink w:anchor="ped_ex991.htm">
              <w:r>
                <w:rPr>
                  <w:rStyle w:val="InternetLink"/>
                  <w:rFonts w:ascii="times new roman" w:hAnsi="times new roman"/>
                  <w:sz w:val="20"/>
                </w:rPr>
                <w:t>99.1*</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6590" w:type="dxa"/>
            <w:tcBorders/>
            <w:shd w:fill="CCEEFF" w:val="clear"/>
            <w:vAlign w:val="center"/>
          </w:tcPr>
          <w:p>
            <w:pPr>
              <w:pStyle w:val="TableContents"/>
              <w:bidi w:val="0"/>
              <w:spacing w:before="0" w:after="0"/>
              <w:ind w:left="0" w:right="0" w:hanging="0"/>
              <w:jc w:val="both"/>
              <w:rPr/>
            </w:pPr>
            <w:hyperlink w:anchor="ped_ex991.htm">
              <w:r>
                <w:rPr>
                  <w:rStyle w:val="InternetLink"/>
                  <w:rFonts w:ascii="times new roman" w:hAnsi="times new roman"/>
                  <w:sz w:val="20"/>
                </w:rPr>
                <w:t>Press Release dated August 13, 2026</w:t>
              </w:r>
            </w:hyperlink>
          </w:p>
        </w:tc>
      </w:tr>
      <w:tr>
        <w:trPr/>
        <w:tc>
          <w:tcPr>
            <w:tcW w:w="5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90" w:type="dxa"/>
            <w:tcBorders/>
            <w:shd w:fill="FFFFFF" w:val="clear"/>
            <w:vAlign w:val="center"/>
          </w:tcPr>
          <w:p>
            <w:pPr>
              <w:pStyle w:val="TableContents"/>
              <w:bidi w:val="0"/>
              <w:spacing w:before="0" w:after="0"/>
              <w:ind w:left="0" w:right="0" w:hanging="0"/>
              <w:jc w:val="left"/>
              <w:rPr/>
            </w:pPr>
            <w:r>
              <w:rPr/>
              <w:t> </w:t>
            </w:r>
          </w:p>
        </w:tc>
        <w:tc>
          <w:tcPr>
            <w:tcW w:w="659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Furnished herewith.</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 w:hAnsi="times new roman"/>
          <w:sz w:val="20"/>
        </w:rPr>
        <w:t>The inclusion of any website address in this Form 8-K, and any exhibit thereto, is intended to be an inactive textual reference only and not an active hyperlink. The information contained in, or that can be accessed through, such website is not part of or incorporated into this Form 8-K.</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press release furnished as </w:t>
      </w:r>
      <w:r>
        <w:rPr>
          <w:rFonts w:ascii="times new roman" w:hAnsi="times new roman"/>
          <w:sz w:val="20"/>
          <w:u w:val="single"/>
        </w:rPr>
        <w:t>Exhibit 99.1</w:t>
      </w:r>
      <w:r>
        <w:rPr>
          <w:rFonts w:ascii="times new roman" w:hAnsi="times new roman"/>
          <w:sz w:val="20"/>
        </w:rPr>
        <w:t xml:space="preserve"> to this Current Report on Form 8-K contains forward-looking statements within the safe harbor provisions under the federal securities laws, including The Private Securities Litigation Reform Act of 1995, and, as such, may involve known and unknown risks, uncertainties and assumptions. These forward-looking statements relate to the Company’s current expectations and are subject to the limitations and qualifications set forth in the press release as well as in the Company’s other filings with the Securities and Exchange Commission, including, without limitation, that actual events and/or results may differ materially from those projected in such forward-looking statements. These statements also involve known and unknown risks, which may cause the results of the Company and its subsidiaries to be materially different than those expressed or implied in such statements, as described in greater detail in the press release furnished as </w:t>
      </w:r>
      <w:r>
        <w:rPr>
          <w:rFonts w:ascii="times new roman" w:hAnsi="times new roman"/>
          <w:sz w:val="20"/>
          <w:u w:val="single"/>
        </w:rPr>
        <w:t>Exhibit 99.1</w:t>
      </w:r>
      <w:r>
        <w:rPr>
          <w:rFonts w:ascii="times new roman" w:hAnsi="times new roman"/>
          <w:sz w:val="20"/>
        </w:rPr>
        <w:t>. Accordingly, readers should not place undue reliance on any forward-looking statements. Forward-looking statements may include comments as to the Company’s beliefs and expectations as to future financial performance, events and trends affecting its business and are necessarily subject to uncertainties, many of which are outside the Company’s control. More information on potential factors that could affect the Company’s financial results is included from time to time in the “</w:t>
      </w:r>
      <w:r>
        <w:rPr>
          <w:rFonts w:ascii="times new roman" w:hAnsi="times new roman"/>
          <w:sz w:val="20"/>
          <w:u w:val="single"/>
        </w:rPr>
        <w:t>Cautionary Note Regarding Forward-Looking Statements,</w:t>
      </w:r>
      <w:r>
        <w:rPr>
          <w:rFonts w:ascii="times new roman" w:hAnsi="times new roman"/>
          <w:sz w:val="20"/>
        </w:rPr>
        <w:t>” “</w:t>
      </w:r>
      <w:r>
        <w:rPr>
          <w:rFonts w:ascii="times new roman" w:hAnsi="times new roman"/>
          <w:sz w:val="20"/>
          <w:u w:val="single"/>
        </w:rPr>
        <w:t>Risk Factors</w:t>
      </w:r>
      <w:r>
        <w:rPr>
          <w:rFonts w:ascii="times new roman" w:hAnsi="times new roman"/>
          <w:sz w:val="20"/>
        </w:rPr>
        <w:t>” and “</w:t>
      </w:r>
      <w:r>
        <w:rPr>
          <w:rFonts w:ascii="times new roman" w:hAnsi="times new roman"/>
          <w:sz w:val="20"/>
          <w:u w:val="single"/>
        </w:rPr>
        <w:t>Management’s Discussion and Analysis of Financial Condition and Results of Operations</w:t>
      </w:r>
      <w:r>
        <w:rPr>
          <w:rFonts w:ascii="times new roman" w:hAnsi="times new roman"/>
          <w:sz w:val="20"/>
        </w:rPr>
        <w:t xml:space="preserve">” sections of the Company’s periodic and current filings with the SEC, including the Form 10-Qs and Form 10-Ks, filed with the SEC and available at </w:t>
      </w:r>
      <w:r>
        <w:rPr>
          <w:rFonts w:ascii="times new roman" w:hAnsi="times new roman"/>
          <w:sz w:val="20"/>
          <w:u w:val="single"/>
        </w:rPr>
        <w:t>www.sec.gov</w:t>
      </w:r>
      <w:r>
        <w:rPr>
          <w:rFonts w:ascii="times new roman" w:hAnsi="times new roman"/>
          <w:sz w:val="20"/>
        </w:rPr>
        <w:t xml:space="preserve"> and the Company’s website at https://www.PEDEVCO.com/ped/sec_filings, and specifically including the Company’s Annual Report on Form 10-K for the year ended December 31, 2025 and Quarterly Report on Form 10-Q for the quarter ended June 30, 2026. Forward-looking statements speak only as of the date they are made. The Company undertakes no obligation to publicly update or revise any forward-looking statements, whether as a result of new information, future events or otherwise that occur after that date, except as otherwise provided by law.</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SIGNATURES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tbl>
      <w:tblPr>
        <w:tblW w:w="5580" w:type="dxa"/>
        <w:jc w:val="left"/>
        <w:tblInd w:w="0" w:type="dxa"/>
        <w:tblLayout w:type="fixed"/>
        <w:tblCellMar>
          <w:top w:w="0" w:type="dxa"/>
          <w:left w:w="0" w:type="dxa"/>
          <w:bottom w:w="0" w:type="dxa"/>
          <w:right w:w="0" w:type="dxa"/>
        </w:tblCellMar>
      </w:tblPr>
      <w:tblGrid>
        <w:gridCol w:w="1895"/>
        <w:gridCol w:w="440"/>
        <w:gridCol w:w="3110"/>
        <w:gridCol w:w="135"/>
      </w:tblGrid>
      <w:tr>
        <w:trPr/>
        <w:tc>
          <w:tcPr>
            <w:tcW w:w="1895" w:type="dxa"/>
            <w:tcBorders/>
            <w:vAlign w:val="center"/>
          </w:tcPr>
          <w:p>
            <w:pPr>
              <w:pStyle w:val="TableContents"/>
              <w:bidi w:val="0"/>
              <w:spacing w:before="0" w:after="0"/>
              <w:ind w:left="0" w:right="0" w:hanging="0"/>
              <w:jc w:val="both"/>
              <w:rPr/>
            </w:pPr>
            <w:r>
              <w:rPr/>
              <w:t> </w:t>
            </w:r>
          </w:p>
        </w:tc>
        <w:tc>
          <w:tcPr>
            <w:tcW w:w="3550" w:type="dxa"/>
            <w:gridSpan w:val="2"/>
            <w:tcBorders/>
            <w:vAlign w:val="center"/>
          </w:tcPr>
          <w:p>
            <w:pPr>
              <w:pStyle w:val="TableContents"/>
              <w:bidi w:val="0"/>
              <w:spacing w:before="0" w:after="0"/>
              <w:ind w:left="0" w:right="0" w:hanging="0"/>
              <w:jc w:val="both"/>
              <w:rPr/>
            </w:pPr>
            <w:r>
              <w:rPr>
                <w:rStyle w:val="StrongEmphasis"/>
                <w:rFonts w:ascii="times new roman" w:hAnsi="times new roman"/>
                <w:sz w:val="20"/>
              </w:rPr>
              <w:t>PEDEVCO CORP.</w:t>
            </w:r>
          </w:p>
        </w:tc>
        <w:tc>
          <w:tcPr>
            <w:tcW w:w="135" w:type="dxa"/>
            <w:tcBorders/>
            <w:vAlign w:val="center"/>
          </w:tcPr>
          <w:p>
            <w:pPr>
              <w:pStyle w:val="TableContents"/>
              <w:bidi w:val="0"/>
              <w:spacing w:before="0" w:after="0"/>
              <w:ind w:left="0" w:right="0" w:hanging="0"/>
              <w:jc w:val="left"/>
              <w:rPr/>
            </w:pPr>
            <w:r>
              <w:rPr/>
              <w:t> </w:t>
            </w:r>
          </w:p>
        </w:tc>
      </w:tr>
      <w:tr>
        <w:trPr/>
        <w:tc>
          <w:tcPr>
            <w:tcW w:w="1895" w:type="dxa"/>
            <w:tcBorders/>
            <w:vAlign w:val="center"/>
          </w:tcPr>
          <w:p>
            <w:pPr>
              <w:pStyle w:val="TableContents"/>
              <w:bidi w:val="0"/>
              <w:spacing w:before="0" w:after="0"/>
              <w:ind w:left="0" w:right="0" w:hanging="0"/>
              <w:jc w:val="both"/>
              <w:rPr/>
            </w:pPr>
            <w:r>
              <w:rPr/>
              <w:t> </w:t>
            </w:r>
          </w:p>
        </w:tc>
        <w:tc>
          <w:tcPr>
            <w:tcW w:w="440" w:type="dxa"/>
            <w:tcBorders/>
            <w:vAlign w:val="center"/>
          </w:tcPr>
          <w:p>
            <w:pPr>
              <w:pStyle w:val="TableContents"/>
              <w:bidi w:val="0"/>
              <w:spacing w:before="0" w:after="0"/>
              <w:ind w:left="0" w:right="0" w:hanging="0"/>
              <w:jc w:val="both"/>
              <w:rPr/>
            </w:pPr>
            <w:r>
              <w:rPr/>
              <w:t> </w:t>
            </w:r>
          </w:p>
        </w:tc>
        <w:tc>
          <w:tcPr>
            <w:tcW w:w="3110" w:type="dxa"/>
            <w:tcBorders/>
            <w:vAlign w:val="center"/>
          </w:tcPr>
          <w:p>
            <w:pPr>
              <w:pStyle w:val="TableContents"/>
              <w:bidi w:val="0"/>
              <w:spacing w:before="0" w:after="0"/>
              <w:ind w:left="0" w:right="0" w:hanging="0"/>
              <w:jc w:val="both"/>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8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Date: August 13, 2026</w:t>
            </w:r>
          </w:p>
        </w:tc>
        <w:tc>
          <w:tcPr>
            <w:tcW w:w="44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By:  </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both"/>
              <w:rPr/>
            </w:pPr>
            <w:r>
              <w:rPr>
                <w:rFonts w:ascii="times new roman" w:hAnsi="times new roman"/>
                <w:sz w:val="20"/>
              </w:rPr>
              <w:t>/s/ </w:t>
            </w:r>
            <w:r>
              <w:rPr>
                <w:rStyle w:val="Emphasis"/>
                <w:rFonts w:ascii="times new roman" w:hAnsi="times new roman"/>
                <w:sz w:val="20"/>
              </w:rPr>
              <w:t>J. Douglas Schick</w:t>
            </w:r>
          </w:p>
        </w:tc>
        <w:tc>
          <w:tcPr>
            <w:tcW w:w="135" w:type="dxa"/>
            <w:tcBorders/>
            <w:vAlign w:val="center"/>
          </w:tcPr>
          <w:p>
            <w:pPr>
              <w:pStyle w:val="TableContents"/>
              <w:bidi w:val="0"/>
              <w:spacing w:before="0" w:after="0"/>
              <w:ind w:left="0" w:right="0" w:hanging="0"/>
              <w:jc w:val="left"/>
              <w:rPr/>
            </w:pPr>
            <w:r>
              <w:rPr/>
              <w:t> </w:t>
            </w:r>
          </w:p>
        </w:tc>
      </w:tr>
      <w:tr>
        <w:trPr/>
        <w:tc>
          <w:tcPr>
            <w:tcW w:w="1895" w:type="dxa"/>
            <w:tcBorders/>
            <w:vAlign w:val="center"/>
          </w:tcPr>
          <w:p>
            <w:pPr>
              <w:pStyle w:val="TableContents"/>
              <w:bidi w:val="0"/>
              <w:spacing w:before="0" w:after="0"/>
              <w:ind w:left="0" w:right="0" w:hanging="0"/>
              <w:jc w:val="both"/>
              <w:rPr/>
            </w:pPr>
            <w:r>
              <w:rPr/>
              <w:t> </w:t>
            </w:r>
          </w:p>
        </w:tc>
        <w:tc>
          <w:tcPr>
            <w:tcW w:w="440" w:type="dxa"/>
            <w:tcBorders/>
            <w:vAlign w:val="center"/>
          </w:tcPr>
          <w:p>
            <w:pPr>
              <w:pStyle w:val="TableContents"/>
              <w:bidi w:val="0"/>
              <w:spacing w:before="0" w:after="0"/>
              <w:ind w:left="0" w:right="0" w:hanging="0"/>
              <w:jc w:val="both"/>
              <w:rPr/>
            </w:pPr>
            <w:r>
              <w:rPr/>
              <w:t> </w:t>
            </w:r>
          </w:p>
        </w:tc>
        <w:tc>
          <w:tcPr>
            <w:tcW w:w="31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J. Douglas Schick</w:t>
            </w:r>
          </w:p>
        </w:tc>
        <w:tc>
          <w:tcPr>
            <w:tcW w:w="135" w:type="dxa"/>
            <w:tcBorders/>
            <w:vAlign w:val="center"/>
          </w:tcPr>
          <w:p>
            <w:pPr>
              <w:pStyle w:val="TableContents"/>
              <w:bidi w:val="0"/>
              <w:spacing w:before="0" w:after="0"/>
              <w:ind w:left="0" w:right="0" w:hanging="0"/>
              <w:jc w:val="left"/>
              <w:rPr/>
            </w:pPr>
            <w:r>
              <w:rPr/>
              <w:t> </w:t>
            </w:r>
          </w:p>
        </w:tc>
      </w:tr>
      <w:tr>
        <w:trPr/>
        <w:tc>
          <w:tcPr>
            <w:tcW w:w="1895" w:type="dxa"/>
            <w:tcBorders/>
            <w:vAlign w:val="center"/>
          </w:tcPr>
          <w:p>
            <w:pPr>
              <w:pStyle w:val="TableContents"/>
              <w:bidi w:val="0"/>
              <w:spacing w:before="0" w:after="0"/>
              <w:ind w:left="0" w:right="0" w:hanging="0"/>
              <w:jc w:val="both"/>
              <w:rPr/>
            </w:pPr>
            <w:r>
              <w:rPr/>
              <w:t> </w:t>
            </w:r>
          </w:p>
        </w:tc>
        <w:tc>
          <w:tcPr>
            <w:tcW w:w="440" w:type="dxa"/>
            <w:tcBorders/>
            <w:vAlign w:val="center"/>
          </w:tcPr>
          <w:p>
            <w:pPr>
              <w:pStyle w:val="TableContents"/>
              <w:bidi w:val="0"/>
              <w:spacing w:before="0" w:after="0"/>
              <w:ind w:left="0" w:right="0" w:hanging="0"/>
              <w:jc w:val="both"/>
              <w:rPr/>
            </w:pPr>
            <w:r>
              <w:rPr/>
              <w:t> </w:t>
            </w:r>
          </w:p>
        </w:tc>
        <w:tc>
          <w:tcPr>
            <w:tcW w:w="31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President and Chief Executive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0" w:name="ped_ex991.htm"/>
      <w:bookmarkStart w:id="1" w:name="ksped_ex991"/>
      <w:bookmarkEnd w:id="0"/>
      <w:bookmarkEnd w:id="1"/>
      <w:r>
        <w:rPr>
          <w:rStyle w:val="StrongEmphasis"/>
          <w:rFonts w:ascii="times new roman" w:hAnsi="times new roman"/>
          <w:sz w:val="20"/>
        </w:rPr>
        <w:t>EXHIBIT 99.1</w:t>
      </w:r>
      <w:r>
        <w:br w:type="page"/>
      </w:r>
    </w:p>
    <w:p>
      <w:pPr>
        <w:pStyle w:val="TextBody"/>
        <w:bidi w:val="0"/>
        <w:spacing w:before="0" w:after="0"/>
        <w:ind w:left="0" w:right="0" w:hanging="0"/>
        <w:jc w:val="both"/>
        <w:rPr/>
      </w:pPr>
      <w:r>
        <w:rPr/>
        <w:t> </w:t>
      </w:r>
    </w:p>
    <w:tbl>
      <w:tblPr>
        <w:tblW w:w="2655" w:type="dxa"/>
        <w:jc w:val="left"/>
        <w:tblInd w:w="0" w:type="dxa"/>
        <w:tblLayout w:type="fixed"/>
        <w:tblCellMar>
          <w:top w:w="0" w:type="dxa"/>
          <w:left w:w="0" w:type="dxa"/>
          <w:bottom w:w="0" w:type="dxa"/>
          <w:right w:w="0" w:type="dxa"/>
        </w:tblCellMar>
      </w:tblPr>
      <w:tblGrid>
        <w:gridCol w:w="2655"/>
      </w:tblGrid>
      <w:tr>
        <w:trPr/>
        <w:tc>
          <w:tcPr>
            <w:tcW w:w="2655" w:type="dxa"/>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333375"/>
                          </a:xfrm>
                          <a:prstGeom prst="rect">
                            <a:avLst/>
                          </a:prstGeom>
                        </pic:spPr>
                      </pic:pic>
                    </a:graphicData>
                  </a:graphic>
                </wp:inline>
              </w:drawing>
            </w:r>
          </w:p>
        </w:tc>
      </w:tr>
      <w:tr>
        <w:trPr/>
        <w:tc>
          <w:tcPr>
            <w:tcW w:w="2655" w:type="dxa"/>
            <w:tcBorders>
              <w:bottom w:val="single" w:sz="2" w:space="0" w:color="F07D2D"/>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Reports Second Quarter 2026 Results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Emphasis"/>
          <w:rFonts w:ascii="times new roman" w:hAnsi="times new roman"/>
          <w:sz w:val="20"/>
        </w:rPr>
        <w:t>Revenue and Net Income Increase QoQ and YoY</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sz w:val="20"/>
        </w:rPr>
        <w:t>Adjusted EBITDA of $18.7 Million for the Quarter</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Emphasis"/>
          <w:rFonts w:ascii="times new roman" w:hAnsi="times new roman"/>
          <w:sz w:val="20"/>
        </w:rPr>
        <w:t>Enhanced Development Plan Expected to Drive Future Growth</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HOUSTON, August 13, 2026 (GLOBE NEWSWIRE) — PEDEVCO Corp. (NYSE American: PED) (“PEDEVCO” or the “Company”)</w:t>
      </w:r>
      <w:r>
        <w:rPr>
          <w:rFonts w:ascii="times new roman" w:hAnsi="times new roman"/>
          <w:sz w:val="20"/>
        </w:rPr>
        <w:t>, a publicly traded energy company engaged in the acquisition and development of strategic oil and gas assets in the Rocky Mountain region, today reported unaudited financial results for the second quarter ended June 30,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E47D3A"/>
          <w:sz w:val="20"/>
        </w:rPr>
        <w:t>Financial &amp; Operational Highlights</w:t>
      </w:r>
    </w:p>
    <w:p>
      <w:pPr>
        <w:pStyle w:val="TextBody"/>
        <w:bidi w:val="0"/>
        <w:spacing w:before="0" w:after="0"/>
        <w:ind w:left="0" w:right="0" w:hanging="0"/>
        <w:jc w:val="both"/>
        <w:rPr/>
      </w:pPr>
      <w:r>
        <w:rPr/>
        <w:t> </w:t>
      </w:r>
    </w:p>
    <w:tbl>
      <w:tblPr>
        <w:tblW w:w="7890" w:type="dxa"/>
        <w:jc w:val="left"/>
        <w:tblInd w:w="0" w:type="dxa"/>
        <w:tblLayout w:type="fixed"/>
        <w:tblCellMar>
          <w:top w:w="30" w:type="dxa"/>
          <w:left w:w="30" w:type="dxa"/>
          <w:bottom w:w="30" w:type="dxa"/>
          <w:right w:w="0" w:type="dxa"/>
        </w:tblCellMar>
      </w:tblPr>
      <w:tblGrid>
        <w:gridCol w:w="2900"/>
        <w:gridCol w:w="830"/>
        <w:gridCol w:w="830"/>
        <w:gridCol w:w="905"/>
        <w:gridCol w:w="1175"/>
        <w:gridCol w:w="1250"/>
      </w:tblGrid>
      <w:tr>
        <w:trPr/>
        <w:tc>
          <w:tcPr>
            <w:tcW w:w="2900" w:type="dxa"/>
            <w:tcBorders>
              <w:top w:val="single" w:sz="2" w:space="0" w:color="000000"/>
              <w:left w:val="single" w:sz="2" w:space="0" w:color="000000"/>
              <w:bottom w:val="single" w:sz="2" w:space="0" w:color="000000"/>
            </w:tcBorders>
            <w:shd w:fill="F07D2D" w:val="clear"/>
            <w:vAlign w:val="center"/>
          </w:tcPr>
          <w:p>
            <w:pPr>
              <w:pStyle w:val="TableContents"/>
              <w:bidi w:val="0"/>
              <w:spacing w:before="0" w:after="0"/>
              <w:ind w:left="0" w:right="0" w:hanging="0"/>
              <w:jc w:val="center"/>
              <w:rPr/>
            </w:pPr>
            <w:r>
              <w:rPr>
                <w:rStyle w:val="Emphasis"/>
                <w:rFonts w:ascii="times new roman" w:hAnsi="times new roman"/>
                <w:color w:val="FFFFFF"/>
                <w:sz w:val="20"/>
              </w:rPr>
              <w:t>($000s except as noted)</w:t>
            </w:r>
          </w:p>
        </w:tc>
        <w:tc>
          <w:tcPr>
            <w:tcW w:w="830" w:type="dxa"/>
            <w:tcBorders>
              <w:top w:val="single" w:sz="2" w:space="0" w:color="000000"/>
              <w:bottom w:val="single" w:sz="2" w:space="0" w:color="000000"/>
            </w:tcBorders>
            <w:shd w:fill="F07D2D" w:val="clear"/>
            <w:tcMar>
              <w:left w:w="0" w:type="dxa"/>
            </w:tcMar>
            <w:vAlign w:val="center"/>
          </w:tcPr>
          <w:p>
            <w:pPr>
              <w:pStyle w:val="TableContents"/>
              <w:bidi w:val="0"/>
              <w:spacing w:before="0" w:after="0"/>
              <w:ind w:left="0" w:right="0" w:hanging="0"/>
              <w:jc w:val="center"/>
              <w:rPr/>
            </w:pPr>
            <w:r>
              <w:rPr>
                <w:rStyle w:val="StrongEmphasis"/>
                <w:rFonts w:ascii="times new roman" w:hAnsi="times new roman"/>
                <w:color w:val="FFFFFF"/>
                <w:sz w:val="20"/>
              </w:rPr>
              <w:t>Q2 2026</w:t>
            </w:r>
          </w:p>
        </w:tc>
        <w:tc>
          <w:tcPr>
            <w:tcW w:w="830" w:type="dxa"/>
            <w:tcBorders>
              <w:top w:val="single" w:sz="2" w:space="0" w:color="000000"/>
              <w:bottom w:val="single" w:sz="2" w:space="0" w:color="000000"/>
            </w:tcBorders>
            <w:shd w:fill="F07D2D" w:val="clear"/>
            <w:tcMar>
              <w:left w:w="0" w:type="dxa"/>
            </w:tcMar>
            <w:vAlign w:val="center"/>
          </w:tcPr>
          <w:p>
            <w:pPr>
              <w:pStyle w:val="TableContents"/>
              <w:bidi w:val="0"/>
              <w:spacing w:before="0" w:after="0"/>
              <w:ind w:left="0" w:right="0" w:hanging="0"/>
              <w:jc w:val="center"/>
              <w:rPr/>
            </w:pPr>
            <w:r>
              <w:rPr>
                <w:rStyle w:val="StrongEmphasis"/>
                <w:rFonts w:ascii="times new roman" w:hAnsi="times new roman"/>
                <w:color w:val="FFFFFF"/>
                <w:sz w:val="20"/>
              </w:rPr>
              <w:t>Q2 2025</w:t>
            </w:r>
          </w:p>
        </w:tc>
        <w:tc>
          <w:tcPr>
            <w:tcW w:w="905" w:type="dxa"/>
            <w:tcBorders>
              <w:top w:val="single" w:sz="2" w:space="0" w:color="000000"/>
              <w:bottom w:val="single" w:sz="2" w:space="0" w:color="000000"/>
            </w:tcBorders>
            <w:shd w:fill="F07D2D" w:val="clear"/>
            <w:tcMar>
              <w:left w:w="0" w:type="dxa"/>
            </w:tcMar>
            <w:vAlign w:val="center"/>
          </w:tcPr>
          <w:p>
            <w:pPr>
              <w:pStyle w:val="TableContents"/>
              <w:bidi w:val="0"/>
              <w:spacing w:before="0" w:after="0"/>
              <w:ind w:left="0" w:right="0" w:hanging="0"/>
              <w:jc w:val="center"/>
              <w:rPr/>
            </w:pPr>
            <w:r>
              <w:rPr>
                <w:rStyle w:val="StrongEmphasis"/>
                <w:rFonts w:ascii="times new roman" w:hAnsi="times new roman"/>
                <w:color w:val="FFFFFF"/>
                <w:sz w:val="20"/>
              </w:rPr>
              <w:t>Q1 2026</w:t>
            </w:r>
          </w:p>
        </w:tc>
        <w:tc>
          <w:tcPr>
            <w:tcW w:w="1175" w:type="dxa"/>
            <w:tcBorders>
              <w:top w:val="single" w:sz="2" w:space="0" w:color="000000"/>
              <w:bottom w:val="single" w:sz="2" w:space="0" w:color="000000"/>
            </w:tcBorders>
            <w:shd w:fill="F07D2D" w:val="clear"/>
            <w:tcMar>
              <w:left w:w="0" w:type="dxa"/>
            </w:tcMar>
            <w:vAlign w:val="center"/>
          </w:tcPr>
          <w:p>
            <w:pPr>
              <w:pStyle w:val="TableContents"/>
              <w:bidi w:val="0"/>
              <w:spacing w:before="0" w:after="0"/>
              <w:ind w:left="0" w:right="0" w:hanging="0"/>
              <w:jc w:val="center"/>
              <w:rPr/>
            </w:pPr>
            <w:r>
              <w:rPr>
                <w:rStyle w:val="StrongEmphasis"/>
                <w:rFonts w:ascii="times new roman" w:hAnsi="times new roman"/>
                <w:color w:val="FFFFFF"/>
                <w:sz w:val="20"/>
              </w:rPr>
              <w:t>Change YoY</w:t>
            </w:r>
          </w:p>
        </w:tc>
        <w:tc>
          <w:tcPr>
            <w:tcW w:w="1250" w:type="dxa"/>
            <w:tcBorders>
              <w:top w:val="single" w:sz="2" w:space="0" w:color="000000"/>
              <w:bottom w:val="single" w:sz="2" w:space="0" w:color="000000"/>
              <w:right w:val="single" w:sz="2" w:space="0" w:color="000000"/>
            </w:tcBorders>
            <w:shd w:fill="F07D2D" w:val="clear"/>
            <w:tcMar>
              <w:left w:w="0" w:type="dxa"/>
              <w:right w:w="30" w:type="dxa"/>
            </w:tcMar>
            <w:vAlign w:val="center"/>
          </w:tcPr>
          <w:p>
            <w:pPr>
              <w:pStyle w:val="TableContents"/>
              <w:bidi w:val="0"/>
              <w:spacing w:before="0" w:after="0"/>
              <w:ind w:left="0" w:right="0" w:hanging="0"/>
              <w:jc w:val="center"/>
              <w:rPr/>
            </w:pPr>
            <w:r>
              <w:rPr>
                <w:rStyle w:val="StrongEmphasis"/>
                <w:rFonts w:ascii="times new roman" w:hAnsi="times new roman"/>
                <w:color w:val="FFFFFF"/>
                <w:sz w:val="20"/>
              </w:rPr>
              <w:t>Change QoQ</w:t>
            </w:r>
          </w:p>
        </w:tc>
      </w:tr>
      <w:tr>
        <w:trPr/>
        <w:tc>
          <w:tcPr>
            <w:tcW w:w="2900"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Average Daily Production (Boe/d)</w:t>
            </w:r>
          </w:p>
        </w:tc>
        <w:tc>
          <w:tcPr>
            <w:tcW w:w="83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6,801</w:t>
            </w:r>
          </w:p>
        </w:tc>
        <w:tc>
          <w:tcPr>
            <w:tcW w:w="83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1,517</w:t>
            </w:r>
          </w:p>
        </w:tc>
        <w:tc>
          <w:tcPr>
            <w:tcW w:w="90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8,091</w:t>
            </w:r>
          </w:p>
        </w:tc>
        <w:tc>
          <w:tcPr>
            <w:tcW w:w="117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+348%</w:t>
            </w:r>
          </w:p>
        </w:tc>
        <w:tc>
          <w:tcPr>
            <w:tcW w:w="125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w:t>
            </w:r>
          </w:p>
        </w:tc>
      </w:tr>
      <w:tr>
        <w:trPr/>
        <w:tc>
          <w:tcPr>
            <w:tcW w:w="2900"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83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$46,113</w:t>
            </w:r>
          </w:p>
        </w:tc>
        <w:tc>
          <w:tcPr>
            <w:tcW w:w="83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$6,972</w:t>
            </w:r>
          </w:p>
        </w:tc>
        <w:tc>
          <w:tcPr>
            <w:tcW w:w="90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$40,222</w:t>
            </w:r>
          </w:p>
        </w:tc>
        <w:tc>
          <w:tcPr>
            <w:tcW w:w="117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+561%</w:t>
            </w:r>
          </w:p>
        </w:tc>
        <w:tc>
          <w:tcPr>
            <w:tcW w:w="125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+15%</w:t>
            </w:r>
          </w:p>
        </w:tc>
      </w:tr>
      <w:tr>
        <w:trPr/>
        <w:tc>
          <w:tcPr>
            <w:tcW w:w="2900"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w:t>
            </w:r>
          </w:p>
        </w:tc>
        <w:tc>
          <w:tcPr>
            <w:tcW w:w="83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$17,454</w:t>
            </w:r>
          </w:p>
        </w:tc>
        <w:tc>
          <w:tcPr>
            <w:tcW w:w="83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$(1,676)</w:t>
            </w:r>
          </w:p>
        </w:tc>
        <w:tc>
          <w:tcPr>
            <w:tcW w:w="90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$(25,627)</w:t>
            </w:r>
          </w:p>
        </w:tc>
        <w:tc>
          <w:tcPr>
            <w:tcW w:w="117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NM(2)</w:t>
            </w:r>
          </w:p>
        </w:tc>
        <w:tc>
          <w:tcPr>
            <w:tcW w:w="125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NM(2)</w:t>
            </w:r>
          </w:p>
        </w:tc>
      </w:tr>
      <w:tr>
        <w:trPr/>
        <w:tc>
          <w:tcPr>
            <w:tcW w:w="2900"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Adjusted EBITDA(1)</w:t>
            </w:r>
          </w:p>
        </w:tc>
        <w:tc>
          <w:tcPr>
            <w:tcW w:w="83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$18,669</w:t>
            </w:r>
          </w:p>
        </w:tc>
        <w:tc>
          <w:tcPr>
            <w:tcW w:w="83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$3,032</w:t>
            </w:r>
          </w:p>
        </w:tc>
        <w:tc>
          <w:tcPr>
            <w:tcW w:w="90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$18,138</w:t>
            </w:r>
          </w:p>
        </w:tc>
        <w:tc>
          <w:tcPr>
            <w:tcW w:w="117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+516%</w:t>
            </w:r>
          </w:p>
        </w:tc>
        <w:tc>
          <w:tcPr>
            <w:tcW w:w="125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(1) Adjusted EBITDA is a non-GAAP financial measure. See “Use of Non-GAAP Financial Information” and the reconciliation table at the end of this release. Note that the Company’s prior earnings release for the quarter ended March 31, 2026 excluded realized losses on derivative contracts from its calculation of Adjusted EBITDA. Commencing with the quarter ended June 30, 2026, the Company includes such realized losses in its calculation of Adjusted EBITDA, and the first quarter 2026 amount presented above has been recast on that same basis for comparative purposes. Adjusted EBITDA for the quarter ended March 31, 2026 was $21.5 million as previously reported and is $18.1 million as recast.</w:t>
      </w:r>
    </w:p>
    <w:p>
      <w:pPr>
        <w:pStyle w:val="TextBody"/>
        <w:bidi w:val="0"/>
        <w:spacing w:before="0" w:after="0"/>
        <w:ind w:left="0" w:right="0" w:hanging="0"/>
        <w:jc w:val="both"/>
        <w:rPr/>
      </w:pPr>
      <w:r>
        <w:rPr>
          <w:rStyle w:val="Emphasis"/>
          <w:rFonts w:ascii="times new roman" w:hAnsi="times new roman"/>
          <w:sz w:val="20"/>
        </w:rPr>
        <w:t xml:space="preserve">(2) “NM” means “Not Meaningful.”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Second quarter 2026 production increased 348% to 618,912 Boe (average 6,801 Boe/d), compared to 138,028 Boe (1,517 Boe/d) in the second quarter of 2025, reflecting the contribution from the asset base acquired in the Q4 2025 merger along with production added from the 2025 development plan.</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Oil and gas revenue increased 561% to $46.1 million, compared to $7.0 million in the prior year period, driven by significantly higher production volumes and a higher average realized oil price.</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Second quarter 2026 net income of $17.5 million or $1.31 per common share, compared to a net loss of $1.7 million or $(0.37) per share in the second quarter of 2025, reflecting higher operating income from the expanded asset base and $5.0 million of net income on derivative contracts.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Adjusted EBITDA increased 516% to $18.7 million, compared to $3.0 million in the second quarter of 2025, reflecting higher production volumes from the expanded asset base and a higher average realized oil price.</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Development program commenced with recent completion of a previously-drilled well in the DJ Basin. Further development of the Company’s extensive drilling inventory is expected to generate significant future production and cash flow growth, while maintaining focus on low leverage and balance sheet strength.</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1</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655" w:type="dxa"/>
        <w:jc w:val="left"/>
        <w:tblInd w:w="0" w:type="dxa"/>
        <w:tblLayout w:type="fixed"/>
        <w:tblCellMar>
          <w:top w:w="0" w:type="dxa"/>
          <w:left w:w="0" w:type="dxa"/>
          <w:bottom w:w="0" w:type="dxa"/>
          <w:right w:w="0" w:type="dxa"/>
        </w:tblCellMar>
      </w:tblPr>
      <w:tblGrid>
        <w:gridCol w:w="2655"/>
      </w:tblGrid>
      <w:tr>
        <w:trPr/>
        <w:tc>
          <w:tcPr>
            <w:tcW w:w="2655" w:type="dxa"/>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28775" cy="333375"/>
                          </a:xfrm>
                          <a:prstGeom prst="rect">
                            <a:avLst/>
                          </a:prstGeom>
                        </pic:spPr>
                      </pic:pic>
                    </a:graphicData>
                  </a:graphic>
                </wp:inline>
              </w:drawing>
            </w:r>
          </w:p>
        </w:tc>
      </w:tr>
      <w:tr>
        <w:trPr/>
        <w:tc>
          <w:tcPr>
            <w:tcW w:w="2655" w:type="dxa"/>
            <w:tcBorders>
              <w:bottom w:val="single" w:sz="2" w:space="0" w:color="F07D2D"/>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E47D3A"/>
          <w:sz w:val="20"/>
        </w:rPr>
        <w:t>Management Commentary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J. Douglas Schick, President and Chief Executive Officer of PEDEVCO, commented: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times new roman" w:hAnsi="times new roman"/>
          <w:sz w:val="20"/>
        </w:rPr>
        <w:t>Our second quarter results demonstrate the earnings power of the platform we’ve assembled. Oil prices were constructive in the quarter, but the durable story is scale — a larger, more diversified asset base with materially greater cash-generating capacity, now translating into financial performance and balance sheet strength ahead of our original expectations. We reduced borrowings under our credit facility from $98 million at March 31, 2026 to $85 million at June 30, 2026, and over the first half of the year cut our working capital deficit, excluding hedge mark-to-market, by approximately $25 million. With approximately $12.1 million of cash and restricted cash at quarter end, net debt stood at approximately $73 million(3). On the strength of $36.8 million of Adjusted EBITDA in the first half of the year and a strong balance sheet, we plan to execute our 2nd half 2026 development plan we have been working on since the closing of our October 2025 merger.”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"Over the past several months, we have conducted extensive analysis on our hundreds of thousands of acres, and we are now putting that capacity to work. We have recently completed a previously-drilled well in the DJ Basin, and over the next several months, we plan to drill or participate in over 20 gross wells across our asset base. We expect this program to add a material amount of production in late 2026 continuing into 2027. This is a disciplined program built to grow production and cash flow while preserving a strong balance sheet and creating long-term value for our shareholders."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(3) Net debt is a non-GAAP measure representing total debt outstanding under the Company’s Senior Secured Revolving Credit Facility ($85.0 million at June 30, 2026) less cash and restricted cash ($12.1 million) as of the same date. Net debt is not a measure of liquidity or performance calculated in accordance with GAAP, has no standardized meaning, and may not be comparable to similarly titled measures used by other companies.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E47D3A"/>
          <w:sz w:val="20"/>
        </w:rPr>
        <w:t xml:space="preserve">Second Quarter Financial Summary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Revenue. </w:t>
      </w:r>
      <w:r>
        <w:rPr>
          <w:rFonts w:ascii="times new roman" w:hAnsi="times new roman"/>
          <w:sz w:val="20"/>
        </w:rPr>
        <w:t>Total crude oil, natural gas and NGL revenues for the three-month period ended June 30, 2026 increased 561% to $46.1 million, compared to $7.0 million for the prior year period. The increase was primarily driven by higher production volumes reflecting the consolidation of the assets acquired in the October 2025 merger with certain portfolio companies controlled by Juniper Capital Advisors, L.P. (the “Juniper Merger”), together with a higher average realized oil price. Of the $39.1 million increase, $35.8 million was attributable to higher sales volumes and $3.3 million to higher realized pricing.</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Lease Operating Expenses. </w:t>
      </w:r>
      <w:r>
        <w:rPr>
          <w:rFonts w:ascii="times new roman" w:hAnsi="times new roman"/>
          <w:sz w:val="20"/>
        </w:rPr>
        <w:t>Lease operating costs were $16.4 million for the second quarter of 2026, compared to $2.8 million for the prior year period, primarily as a result of operating costs from the acquired assets, compared to no contribution from those assets in the prior year period, as the Juniper Merger closed on October 31, 2025.</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General and Administrative Expenses. </w:t>
      </w:r>
      <w:r>
        <w:rPr>
          <w:rFonts w:ascii="times new roman" w:hAnsi="times new roman"/>
          <w:sz w:val="20"/>
        </w:rPr>
        <w:t>Total G&amp;A expenses (including share-based compensation) increased 101% to $3.4 million, compared to $1.7 million for the prior year period, primarily due to additional payroll expenses associated with the Juniper Merger and higher legal and audit fees due to the growth of the Company.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Depreciation, Depletion, Amortization and Accretion. </w:t>
      </w:r>
      <w:r>
        <w:rPr>
          <w:rFonts w:ascii="times new roman" w:hAnsi="times new roman"/>
          <w:sz w:val="20"/>
        </w:rPr>
        <w:t>DD&amp;A increased by $6.3 million to $10.2 million for the three months ended June 30, 2026, compared to the prior year period, driven by higher production volumes and a significantly expanded asset base following the Juniper Merger.</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Net Income (Loss) on Derivative Contracts. </w:t>
      </w:r>
      <w:r>
        <w:rPr>
          <w:rFonts w:ascii="times new roman" w:hAnsi="times new roman"/>
          <w:sz w:val="20"/>
        </w:rPr>
        <w:t>The Company recognized net income of $5.0 million on its derivative contracts. Although the Company recorded $8.1 million in realized settlement losses during the three months ended June 30, 2026, these settlement losses were more than offset by a non-cash unrealized gain on derivative contracts of $13.1 million, primarily due to the decrease in commodity pricing from March 31, 2026 to June 30, 2026 related to unsettled periods.</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655" w:type="dxa"/>
        <w:jc w:val="left"/>
        <w:tblInd w:w="0" w:type="dxa"/>
        <w:tblLayout w:type="fixed"/>
        <w:tblCellMar>
          <w:top w:w="0" w:type="dxa"/>
          <w:left w:w="0" w:type="dxa"/>
          <w:bottom w:w="0" w:type="dxa"/>
          <w:right w:w="0" w:type="dxa"/>
        </w:tblCellMar>
      </w:tblPr>
      <w:tblGrid>
        <w:gridCol w:w="2655"/>
      </w:tblGrid>
      <w:tr>
        <w:trPr/>
        <w:tc>
          <w:tcPr>
            <w:tcW w:w="2655" w:type="dxa"/>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28775" cy="333375"/>
                          </a:xfrm>
                          <a:prstGeom prst="rect">
                            <a:avLst/>
                          </a:prstGeom>
                        </pic:spPr>
                      </pic:pic>
                    </a:graphicData>
                  </a:graphic>
                </wp:inline>
              </w:drawing>
            </w:r>
          </w:p>
        </w:tc>
      </w:tr>
      <w:tr>
        <w:trPr/>
        <w:tc>
          <w:tcPr>
            <w:tcW w:w="2655" w:type="dxa"/>
            <w:tcBorders>
              <w:bottom w:val="single" w:sz="2" w:space="0" w:color="F07D2D"/>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Interest Expense. </w:t>
      </w:r>
      <w:r>
        <w:rPr>
          <w:rFonts w:ascii="times new roman" w:hAnsi="times new roman"/>
          <w:sz w:val="20"/>
        </w:rPr>
        <w:t>The Company incurred $2.0 million of interest expense, consisting of $1.8 million in interest on borrowings under its credit facility and $0.2 million in amortization of deferred financing costs, compared to no interest expense in the prior year period as the Company carried no debt prior to the Juniper Merger.</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 xml:space="preserve">Net Income (Loss). </w:t>
      </w:r>
      <w:r>
        <w:rPr>
          <w:rFonts w:ascii="times new roman" w:hAnsi="times new roman"/>
          <w:sz w:val="20"/>
        </w:rPr>
        <w:t>The Company reported net income of $17.5 million or $1.31 per common share for the three months ended June 30, 2026, compared to a net loss of $1.7 million or $(0.37) per share for the prior year period, primarily reflecting higher operating income and $5.0 million of net income on derivative contracts.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sz w:val="20"/>
        </w:rPr>
        <w:t xml:space="preserve">Adjusted EBITDA. </w:t>
      </w:r>
      <w:r>
        <w:rPr>
          <w:rFonts w:ascii="times new roman" w:hAnsi="times new roman"/>
          <w:sz w:val="20"/>
        </w:rPr>
        <w:t>Adjusted EBITDA was $18.7 million for the three months ended June 30, 2026, compared to $3.0 million in the prior year period, reflecting a significant increase driven by higher production volumes from the assets acquired in the Juniper Merger and a higher average realized oil price.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E47D3A"/>
          <w:sz w:val="20"/>
        </w:rPr>
        <w:t>Production and Realized Price Summary</w:t>
      </w:r>
    </w:p>
    <w:p>
      <w:pPr>
        <w:pStyle w:val="TextBody"/>
        <w:bidi w:val="0"/>
        <w:spacing w:before="0" w:after="0"/>
        <w:ind w:left="0" w:right="0" w:hanging="0"/>
        <w:jc w:val="both"/>
        <w:rPr/>
      </w:pPr>
      <w:r>
        <w:rPr/>
        <w:t> </w:t>
      </w:r>
    </w:p>
    <w:tbl>
      <w:tblPr>
        <w:tblW w:w="6503" w:type="dxa"/>
        <w:jc w:val="left"/>
        <w:tblInd w:w="0" w:type="dxa"/>
        <w:tblLayout w:type="fixed"/>
        <w:tblCellMar>
          <w:top w:w="0" w:type="dxa"/>
          <w:left w:w="0" w:type="dxa"/>
          <w:bottom w:w="0" w:type="dxa"/>
          <w:right w:w="0" w:type="dxa"/>
        </w:tblCellMar>
      </w:tblPr>
      <w:tblGrid>
        <w:gridCol w:w="2135"/>
        <w:gridCol w:w="90"/>
        <w:gridCol w:w="225"/>
        <w:gridCol w:w="1099"/>
        <w:gridCol w:w="90"/>
        <w:gridCol w:w="90"/>
        <w:gridCol w:w="225"/>
        <w:gridCol w:w="1099"/>
        <w:gridCol w:w="90"/>
        <w:gridCol w:w="90"/>
        <w:gridCol w:w="168"/>
        <w:gridCol w:w="767"/>
        <w:gridCol w:w="335"/>
      </w:tblGrid>
      <w:tr>
        <w:trPr/>
        <w:tc>
          <w:tcPr>
            <w:tcW w:w="213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24" w:type="dxa"/>
            <w:gridSpan w:val="2"/>
            <w:tcBorders/>
            <w:vAlign w:val="center"/>
          </w:tcPr>
          <w:p>
            <w:pPr>
              <w:pStyle w:val="TableContents"/>
              <w:bidi w:val="0"/>
              <w:spacing w:before="0" w:after="0"/>
              <w:ind w:left="0" w:right="0" w:hanging="0"/>
              <w:jc w:val="right"/>
              <w:rPr/>
            </w:pPr>
            <w:r>
              <w:rPr>
                <w:rStyle w:val="StrongEmphasis"/>
                <w:rFonts w:ascii="times new roman" w:hAnsi="times new roman"/>
                <w:sz w:val="20"/>
              </w:rPr>
              <w:t>Quarter Ended</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24" w:type="dxa"/>
            <w:gridSpan w:val="2"/>
            <w:tcBorders/>
            <w:vAlign w:val="center"/>
          </w:tcPr>
          <w:p>
            <w:pPr>
              <w:pStyle w:val="TableContents"/>
              <w:bidi w:val="0"/>
              <w:spacing w:before="0" w:after="0"/>
              <w:ind w:left="0" w:right="0" w:hanging="0"/>
              <w:jc w:val="right"/>
              <w:rPr/>
            </w:pPr>
            <w:r>
              <w:rPr>
                <w:rStyle w:val="StrongEmphasis"/>
                <w:rFonts w:ascii="times new roman" w:hAnsi="times new roman"/>
                <w:sz w:val="20"/>
              </w:rPr>
              <w:t>Quarter Ended</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35" w:type="dxa"/>
            <w:gridSpan w:val="2"/>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0"/>
              <w:ind w:left="0" w:right="0" w:hanging="0"/>
              <w:jc w:val="left"/>
              <w:rPr/>
            </w:pPr>
            <w:r>
              <w:rPr/>
              <w:t> </w:t>
            </w:r>
          </w:p>
        </w:tc>
      </w:tr>
      <w:tr>
        <w:trPr/>
        <w:tc>
          <w:tcPr>
            <w:tcW w:w="213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rStyle w:val="StrongEmphasis"/>
                <w:rFonts w:ascii="times new roman" w:hAnsi="times new roman"/>
                <w:sz w:val="20"/>
              </w:rPr>
              <w:t>06/30/2026</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rStyle w:val="StrongEmphasis"/>
                <w:rFonts w:ascii="times new roman" w:hAnsi="times new roman"/>
                <w:sz w:val="20"/>
              </w:rPr>
              <w:t>06/30/2025</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rStyle w:val="StrongEmphasis"/>
                <w:rFonts w:ascii="times new roman" w:hAnsi="times new roman"/>
                <w:sz w:val="20"/>
              </w:rPr>
              <w:t>% Change</w:t>
            </w:r>
          </w:p>
        </w:tc>
        <w:tc>
          <w:tcPr>
            <w:tcW w:w="335" w:type="dxa"/>
            <w:tcBorders/>
            <w:vAlign w:val="center"/>
          </w:tcPr>
          <w:p>
            <w:pPr>
              <w:pStyle w:val="TableContents"/>
              <w:bidi w:val="0"/>
              <w:spacing w:before="0" w:after="0"/>
              <w:ind w:left="0" w:right="0" w:hanging="0"/>
              <w:jc w:val="left"/>
              <w:rPr/>
            </w:pPr>
            <w:r>
              <w:rPr/>
              <w:t> </w:t>
            </w:r>
          </w:p>
        </w:tc>
      </w:tr>
      <w:tr>
        <w:trPr/>
        <w:tc>
          <w:tcPr>
            <w:tcW w:w="2135" w:type="dxa"/>
            <w:tcBorders/>
            <w:vAlign w:val="center"/>
          </w:tcPr>
          <w:p>
            <w:pPr>
              <w:pStyle w:val="TableContents"/>
              <w:bidi w:val="0"/>
              <w:spacing w:before="0" w:after="0"/>
              <w:ind w:left="0" w:right="0" w:hanging="0"/>
              <w:jc w:val="left"/>
              <w:rPr/>
            </w:pPr>
            <w:r>
              <w:rPr>
                <w:rStyle w:val="Emphasis"/>
                <w:rFonts w:ascii="times new roman" w:hAnsi="times new roman"/>
                <w:sz w:val="20"/>
              </w:rPr>
              <w:t>Production Volumes:</w:t>
            </w:r>
          </w:p>
        </w:tc>
        <w:tc>
          <w:tcPr>
            <w:tcW w:w="90" w:type="dxa"/>
            <w:tcBorders/>
            <w:vAlign w:val="center"/>
          </w:tcPr>
          <w:p>
            <w:pPr>
              <w:pStyle w:val="TableContents"/>
              <w:bidi w:val="0"/>
              <w:spacing w:before="0" w:after="0"/>
              <w:ind w:left="0" w:right="0" w:hanging="0"/>
              <w:jc w:val="left"/>
              <w:rPr/>
            </w:pPr>
            <w:r>
              <w:rPr/>
              <w:t> </w:t>
            </w:r>
          </w:p>
        </w:tc>
        <w:tc>
          <w:tcPr>
            <w:tcW w:w="1324"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24"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35" w:type="dxa"/>
            <w:gridSpan w:val="2"/>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r>
      <w:tr>
        <w:trPr/>
        <w:tc>
          <w:tcPr>
            <w:tcW w:w="213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Crude Oil (Bbls)</w:t>
            </w:r>
          </w:p>
        </w:tc>
        <w:tc>
          <w:tcPr>
            <w:tcW w:w="9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283"/>
              <w:jc w:val="right"/>
              <w:rPr/>
            </w:pPr>
            <w:r>
              <w:rPr/>
              <w:t>450,607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283"/>
              <w:jc w:val="right"/>
              <w:rPr/>
            </w:pPr>
            <w:r>
              <w:rPr/>
              <w:t>100,249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283"/>
              <w:jc w:val="right"/>
              <w:rPr/>
            </w:pPr>
            <w:r>
              <w:rPr/>
              <w:t>349</w:t>
            </w:r>
          </w:p>
        </w:tc>
        <w:tc>
          <w:tcPr>
            <w:tcW w:w="335"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Natural Gas (Mcf)</w:t>
            </w:r>
          </w:p>
        </w:tc>
        <w:tc>
          <w:tcPr>
            <w:tcW w:w="9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099" w:type="dxa"/>
            <w:tcBorders/>
            <w:shd w:fill="FFFFFF" w:val="clear"/>
            <w:vAlign w:val="center"/>
          </w:tcPr>
          <w:p>
            <w:pPr>
              <w:pStyle w:val="TableContents"/>
              <w:bidi w:val="0"/>
              <w:spacing w:before="0" w:after="283"/>
              <w:jc w:val="right"/>
              <w:rPr/>
            </w:pPr>
            <w:r>
              <w:rPr/>
              <w:t>512,805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099" w:type="dxa"/>
            <w:tcBorders/>
            <w:shd w:fill="FFFFFF" w:val="clear"/>
            <w:vAlign w:val="center"/>
          </w:tcPr>
          <w:p>
            <w:pPr>
              <w:pStyle w:val="TableContents"/>
              <w:bidi w:val="0"/>
              <w:spacing w:before="0" w:after="283"/>
              <w:jc w:val="right"/>
              <w:rPr/>
            </w:pPr>
            <w:r>
              <w:rPr/>
              <w:t>119,493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767" w:type="dxa"/>
            <w:tcBorders/>
            <w:shd w:fill="FFFFFF" w:val="clear"/>
            <w:vAlign w:val="center"/>
          </w:tcPr>
          <w:p>
            <w:pPr>
              <w:pStyle w:val="TableContents"/>
              <w:bidi w:val="0"/>
              <w:spacing w:before="0" w:after="283"/>
              <w:jc w:val="right"/>
              <w:rPr/>
            </w:pPr>
            <w:r>
              <w:rPr/>
              <w:t>329</w:t>
            </w:r>
          </w:p>
        </w:tc>
        <w:tc>
          <w:tcPr>
            <w:tcW w:w="335"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NGL (Bbls)</w:t>
            </w:r>
          </w:p>
        </w:tc>
        <w:tc>
          <w:tcPr>
            <w:tcW w:w="9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283"/>
              <w:jc w:val="right"/>
              <w:rPr/>
            </w:pPr>
            <w:r>
              <w:rPr/>
              <w:t>82,838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283"/>
              <w:jc w:val="right"/>
              <w:rPr/>
            </w:pPr>
            <w:r>
              <w:rPr/>
              <w:t>17,863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283"/>
              <w:jc w:val="right"/>
              <w:rPr/>
            </w:pPr>
            <w:r>
              <w:rPr/>
              <w:t>364</w:t>
            </w:r>
          </w:p>
        </w:tc>
        <w:tc>
          <w:tcPr>
            <w:tcW w:w="335"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Total (Boe)</w:t>
            </w:r>
          </w:p>
        </w:tc>
        <w:tc>
          <w:tcPr>
            <w:tcW w:w="9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099" w:type="dxa"/>
            <w:tcBorders/>
            <w:shd w:fill="FFFFFF" w:val="clear"/>
            <w:vAlign w:val="center"/>
          </w:tcPr>
          <w:p>
            <w:pPr>
              <w:pStyle w:val="TableContents"/>
              <w:bidi w:val="0"/>
              <w:spacing w:before="0" w:after="283"/>
              <w:jc w:val="right"/>
              <w:rPr/>
            </w:pPr>
            <w:r>
              <w:rPr>
                <w:rStyle w:val="StrongEmphasis"/>
              </w:rPr>
              <w:t>618,912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099" w:type="dxa"/>
            <w:tcBorders/>
            <w:shd w:fill="FFFFFF" w:val="clear"/>
            <w:vAlign w:val="center"/>
          </w:tcPr>
          <w:p>
            <w:pPr>
              <w:pStyle w:val="TableContents"/>
              <w:bidi w:val="0"/>
              <w:spacing w:before="0" w:after="283"/>
              <w:jc w:val="right"/>
              <w:rPr/>
            </w:pPr>
            <w:r>
              <w:rPr>
                <w:rStyle w:val="StrongEmphasis"/>
              </w:rPr>
              <w:t>138,028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767" w:type="dxa"/>
            <w:tcBorders/>
            <w:shd w:fill="FFFFFF" w:val="clear"/>
            <w:vAlign w:val="center"/>
          </w:tcPr>
          <w:p>
            <w:pPr>
              <w:pStyle w:val="TableContents"/>
              <w:bidi w:val="0"/>
              <w:spacing w:before="0" w:after="283"/>
              <w:jc w:val="right"/>
              <w:rPr/>
            </w:pPr>
            <w:r>
              <w:rPr>
                <w:rStyle w:val="StrongEmphasis"/>
              </w:rPr>
              <w:t>348</w:t>
            </w:r>
          </w:p>
        </w:tc>
        <w:tc>
          <w:tcPr>
            <w:tcW w:w="335" w:type="dxa"/>
            <w:tcBorders/>
            <w:shd w:fill="FFFFFF" w:val="clear"/>
            <w:vAlign w:val="center"/>
          </w:tcPr>
          <w:p>
            <w:pPr>
              <w:pStyle w:val="TableContents"/>
              <w:bidi w:val="0"/>
              <w:spacing w:before="0" w:after="283"/>
              <w:jc w:val="left"/>
              <w:rPr/>
            </w:pPr>
            <w:r>
              <w:rPr>
                <w:rStyle w:val="StrongEmphasis"/>
              </w:rPr>
              <w:t>%</w:t>
            </w:r>
          </w:p>
        </w:tc>
      </w:tr>
      <w:tr>
        <w:trPr/>
        <w:tc>
          <w:tcPr>
            <w:tcW w:w="2135"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Average Daily (Boe/d)</w:t>
            </w:r>
          </w:p>
        </w:tc>
        <w:tc>
          <w:tcPr>
            <w:tcW w:w="9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283"/>
              <w:jc w:val="right"/>
              <w:rPr/>
            </w:pPr>
            <w:r>
              <w:rPr>
                <w:rStyle w:val="StrongEmphasis"/>
              </w:rPr>
              <w:t>6,801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283"/>
              <w:jc w:val="right"/>
              <w:rPr/>
            </w:pPr>
            <w:r>
              <w:rPr>
                <w:rStyle w:val="StrongEmphasis"/>
              </w:rPr>
              <w:t>1,517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283"/>
              <w:jc w:val="right"/>
              <w:rPr/>
            </w:pPr>
            <w:r>
              <w:rPr>
                <w:rStyle w:val="StrongEmphasis"/>
              </w:rPr>
              <w:t>348</w:t>
            </w:r>
          </w:p>
        </w:tc>
        <w:tc>
          <w:tcPr>
            <w:tcW w:w="335" w:type="dxa"/>
            <w:tcBorders/>
            <w:shd w:fill="CCEEFF" w:val="clear"/>
            <w:vAlign w:val="center"/>
          </w:tcPr>
          <w:p>
            <w:pPr>
              <w:pStyle w:val="TableContents"/>
              <w:bidi w:val="0"/>
              <w:spacing w:before="0" w:after="283"/>
              <w:jc w:val="left"/>
              <w:rPr/>
            </w:pPr>
            <w:r>
              <w:rPr>
                <w:rStyle w:val="StrongEmphasis"/>
              </w:rPr>
              <w:t>%</w:t>
            </w:r>
          </w:p>
        </w:tc>
      </w:tr>
      <w:tr>
        <w:trPr/>
        <w:tc>
          <w:tcPr>
            <w:tcW w:w="213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09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109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767"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left"/>
              <w:rPr/>
            </w:pPr>
            <w:r>
              <w:rPr/>
              <w:t> </w:t>
            </w:r>
          </w:p>
        </w:tc>
      </w:tr>
      <w:tr>
        <w:trPr/>
        <w:tc>
          <w:tcPr>
            <w:tcW w:w="2135"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sz w:val="20"/>
              </w:rPr>
              <w:t>Average Realized Prices:</w:t>
            </w:r>
          </w:p>
        </w:tc>
        <w:tc>
          <w:tcPr>
            <w:tcW w:w="9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767" w:type="dxa"/>
            <w:tcBorders/>
            <w:shd w:fill="CCEEFF" w:val="clear"/>
            <w:vAlign w:val="center"/>
          </w:tcPr>
          <w:p>
            <w:pPr>
              <w:pStyle w:val="TableContents"/>
              <w:bidi w:val="0"/>
              <w:spacing w:before="0" w:after="0"/>
              <w:ind w:left="0" w:right="0" w:hanging="0"/>
              <w:jc w:val="lef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r>
      <w:tr>
        <w:trPr/>
        <w:tc>
          <w:tcPr>
            <w:tcW w:w="213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Crude Oil ($/Bbl)</w:t>
            </w:r>
          </w:p>
        </w:tc>
        <w:tc>
          <w:tcPr>
            <w:tcW w:w="9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283"/>
              <w:jc w:val="left"/>
              <w:rPr/>
            </w:pPr>
            <w:r>
              <w:rPr/>
              <w:t>$</w:t>
            </w:r>
          </w:p>
        </w:tc>
        <w:tc>
          <w:tcPr>
            <w:tcW w:w="1099" w:type="dxa"/>
            <w:tcBorders/>
            <w:shd w:fill="FFFFFF" w:val="clear"/>
            <w:vAlign w:val="center"/>
          </w:tcPr>
          <w:p>
            <w:pPr>
              <w:pStyle w:val="TableContents"/>
              <w:bidi w:val="0"/>
              <w:spacing w:before="0" w:after="283"/>
              <w:jc w:val="right"/>
              <w:rPr/>
            </w:pPr>
            <w:r>
              <w:rPr/>
              <w:t>94.07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283"/>
              <w:jc w:val="left"/>
              <w:rPr/>
            </w:pPr>
            <w:r>
              <w:rPr/>
              <w:t>$</w:t>
            </w:r>
          </w:p>
        </w:tc>
        <w:tc>
          <w:tcPr>
            <w:tcW w:w="1099" w:type="dxa"/>
            <w:tcBorders/>
            <w:shd w:fill="FFFFFF" w:val="clear"/>
            <w:vAlign w:val="center"/>
          </w:tcPr>
          <w:p>
            <w:pPr>
              <w:pStyle w:val="TableContents"/>
              <w:bidi w:val="0"/>
              <w:spacing w:before="0" w:after="283"/>
              <w:jc w:val="right"/>
              <w:rPr/>
            </w:pPr>
            <w:r>
              <w:rPr/>
              <w:t>61.65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767" w:type="dxa"/>
            <w:tcBorders/>
            <w:shd w:fill="FFFFFF" w:val="clear"/>
            <w:vAlign w:val="center"/>
          </w:tcPr>
          <w:p>
            <w:pPr>
              <w:pStyle w:val="TableContents"/>
              <w:bidi w:val="0"/>
              <w:spacing w:before="0" w:after="283"/>
              <w:jc w:val="right"/>
              <w:rPr/>
            </w:pPr>
            <w:r>
              <w:rPr/>
              <w:t>53</w:t>
            </w:r>
          </w:p>
        </w:tc>
        <w:tc>
          <w:tcPr>
            <w:tcW w:w="335"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Natural Gas ($/Mcf)</w:t>
            </w:r>
          </w:p>
        </w:tc>
        <w:tc>
          <w:tcPr>
            <w:tcW w:w="9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2.10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2.70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35"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p>
        </w:tc>
        <w:tc>
          <w:tcPr>
            <w:tcW w:w="3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13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NGL ($/Bbl)</w:t>
            </w:r>
          </w:p>
        </w:tc>
        <w:tc>
          <w:tcPr>
            <w:tcW w:w="9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283"/>
              <w:jc w:val="left"/>
              <w:rPr/>
            </w:pPr>
            <w:r>
              <w:rPr/>
              <w:t>$</w:t>
            </w:r>
          </w:p>
        </w:tc>
        <w:tc>
          <w:tcPr>
            <w:tcW w:w="1099" w:type="dxa"/>
            <w:tcBorders/>
            <w:shd w:fill="FFFFFF" w:val="clear"/>
            <w:vAlign w:val="center"/>
          </w:tcPr>
          <w:p>
            <w:pPr>
              <w:pStyle w:val="TableContents"/>
              <w:bidi w:val="0"/>
              <w:spacing w:before="0" w:after="283"/>
              <w:jc w:val="right"/>
              <w:rPr/>
            </w:pPr>
            <w:r>
              <w:rPr/>
              <w:t>31.98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283"/>
              <w:jc w:val="left"/>
              <w:rPr/>
            </w:pPr>
            <w:r>
              <w:rPr/>
              <w:t>$</w:t>
            </w:r>
          </w:p>
        </w:tc>
        <w:tc>
          <w:tcPr>
            <w:tcW w:w="1099" w:type="dxa"/>
            <w:tcBorders/>
            <w:shd w:fill="FFFFFF" w:val="clear"/>
            <w:vAlign w:val="center"/>
          </w:tcPr>
          <w:p>
            <w:pPr>
              <w:pStyle w:val="TableContents"/>
              <w:bidi w:val="0"/>
              <w:spacing w:before="0" w:after="283"/>
              <w:jc w:val="right"/>
              <w:rPr/>
            </w:pPr>
            <w:r>
              <w:rPr/>
              <w:t>26.25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767" w:type="dxa"/>
            <w:tcBorders/>
            <w:shd w:fill="FFFFFF" w:val="clear"/>
            <w:vAlign w:val="center"/>
          </w:tcPr>
          <w:p>
            <w:pPr>
              <w:pStyle w:val="TableContents"/>
              <w:bidi w:val="0"/>
              <w:spacing w:before="0" w:after="283"/>
              <w:jc w:val="right"/>
              <w:rPr/>
            </w:pPr>
            <w:r>
              <w:rPr/>
              <w:t>22</w:t>
            </w:r>
          </w:p>
        </w:tc>
        <w:tc>
          <w:tcPr>
            <w:tcW w:w="33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E47D3A"/>
          <w:sz w:val="20"/>
        </w:rPr>
        <w:t>Operational Update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Second quarter 2026 production of 618,912 Boe, or 6,801 Boe/d, was in line with the Company’s internal plan. On a sequential basis, production declined as expected (16% quarter on quarter), as the first quarter benefited from the timing of the D-J Basin wells brought online in late 2025. During the quarter, the Company continued to identify cost savings and operational efficiencies across its asset base, which the Company expects will support continued performance through the balance of the year.</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D-J Basin. </w:t>
      </w:r>
      <w:r>
        <w:rPr>
          <w:rFonts w:ascii="times new roman" w:hAnsi="times new roman"/>
          <w:sz w:val="20"/>
        </w:rPr>
        <w:t>The Company holds approximately 88,605 net acres and holds interests in 74 gross (66.9 net) operated wells and 110 gross (12.5 net) non-operated wells in the D-J Basin. During the second quarter, the Company continued to advance its field optimization program and completed its planned first-half participation in 10 non-operated wells with working interests ranging from 1.1% to 6.3%. Following quarter-end, the Company completed its previously disclosed D-J Basin DUC, the Hastings well, with first production expected in early August. Certain nearby wells were temporarily shut-in during completion operations, and the Company also accelerated several optimization projects into the third quarter. As a result, production is expected to be lower in July before improving as affected wells return to service and the Hastings well begins contributing.</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3</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655" w:type="dxa"/>
        <w:jc w:val="left"/>
        <w:tblInd w:w="0" w:type="dxa"/>
        <w:tblLayout w:type="fixed"/>
        <w:tblCellMar>
          <w:top w:w="0" w:type="dxa"/>
          <w:left w:w="0" w:type="dxa"/>
          <w:bottom w:w="0" w:type="dxa"/>
          <w:right w:w="0" w:type="dxa"/>
        </w:tblCellMar>
      </w:tblPr>
      <w:tblGrid>
        <w:gridCol w:w="2655"/>
      </w:tblGrid>
      <w:tr>
        <w:trPr/>
        <w:tc>
          <w:tcPr>
            <w:tcW w:w="2655" w:type="dxa"/>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28775" cy="333375"/>
                          </a:xfrm>
                          <a:prstGeom prst="rect">
                            <a:avLst/>
                          </a:prstGeom>
                        </pic:spPr>
                      </pic:pic>
                    </a:graphicData>
                  </a:graphic>
                </wp:inline>
              </w:drawing>
            </w:r>
          </w:p>
        </w:tc>
      </w:tr>
      <w:tr>
        <w:trPr/>
        <w:tc>
          <w:tcPr>
            <w:tcW w:w="2655" w:type="dxa"/>
            <w:tcBorders>
              <w:bottom w:val="single" w:sz="2" w:space="0" w:color="F07D2D"/>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Powder River Basin (“PRB”). </w:t>
      </w:r>
      <w:r>
        <w:rPr>
          <w:rFonts w:ascii="times new roman" w:hAnsi="times new roman"/>
          <w:sz w:val="20"/>
        </w:rPr>
        <w:t>The Company holds approximately 202,100 net acres and holds interests in 156 gross (135.4 net) wells in the PRB, of which 16 gross (1.4 net) are non-operated. During the quarter, certain permitting-related matters affecting Wyoming acreage were resolved, improving the Company’s ability to advance portions of the asset toward development. Production in the area is stable and provides a strong base for growth from development of our properties in 2026 and beyond.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Permian Basin.</w:t>
      </w:r>
      <w:r>
        <w:rPr>
          <w:rFonts w:ascii="times new roman" w:hAnsi="times new roman"/>
          <w:sz w:val="20"/>
        </w:rPr>
        <w:t xml:space="preserve"> The Company holds approximately 14,505 net acres and holds interests in 38 gross (34.5 net) wells in the Permian Basin, all of which the Company operates. The asset continued to provide a stable production base during the second quarter. The Company remained focused on operating efficiency and continued to evaluate lift conversions, well interventions and other optimization opportunities designed to reduce operating costs and improve margins.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E47D3A"/>
          <w:sz w:val="20"/>
        </w:rPr>
        <w:t xml:space="preserve">Liquidity and Capital Structure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June 30, 2026, the Company had cash of $10.8 million and restricted cash of $1.3 million. During the quarter, revolver borrowings under the Company’s Senior Secured Revolving Credit Facility declined to $85.0 million from $98.0 million as of March 31, 2026. Working capital deficit, excluding derivative contract assets and liabilities, was $8.6 million at June 30, 2026, compared to $34.1 million at December 31, 2025, a decrease of $25.5 million, consistent with the improvement described above. As of June 30, 2026, the Company also had $40.0 million of additional availability under the A&amp;R Credit Agreement.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E47D3A"/>
          <w:sz w:val="20"/>
        </w:rPr>
        <w:t>Earnings Conference Call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PEDEVCO management will host a conference call today, Thursday, August 13, 2026, at 5:00 p.m. Eastern time to discuss its financial results for the second quarter ended June 30, 2026, followed by a question-and-answer period.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Date: Thursday, August 13, 2026</w:t>
      </w:r>
    </w:p>
    <w:p>
      <w:pPr>
        <w:pStyle w:val="TextBody"/>
        <w:bidi w:val="0"/>
        <w:spacing w:before="0" w:after="0"/>
        <w:ind w:left="0" w:right="0" w:hanging="0"/>
        <w:jc w:val="both"/>
        <w:rPr/>
      </w:pPr>
      <w:r>
        <w:rPr>
          <w:rStyle w:val="StrongEmphasis"/>
          <w:rFonts w:ascii="times new roman" w:hAnsi="times new roman"/>
          <w:sz w:val="20"/>
        </w:rPr>
        <w:t>Time: 5:00 p.m. Eastern time</w:t>
      </w:r>
    </w:p>
    <w:p>
      <w:pPr>
        <w:pStyle w:val="TextBody"/>
        <w:bidi w:val="0"/>
        <w:spacing w:before="0" w:after="0"/>
        <w:ind w:left="0" w:right="0" w:hanging="0"/>
        <w:jc w:val="both"/>
        <w:rPr/>
      </w:pPr>
      <w:r>
        <w:rPr>
          <w:rStyle w:val="StrongEmphasis"/>
          <w:rFonts w:ascii="times new roman" w:hAnsi="times new roman"/>
          <w:sz w:val="20"/>
        </w:rPr>
        <w:t xml:space="preserve">Dial-in registration link: </w:t>
      </w:r>
      <w:r>
        <w:rPr>
          <w:rStyle w:val="StrongEmphasis"/>
          <w:rFonts w:ascii="times new roman" w:hAnsi="times new roman"/>
          <w:color w:val="0000FF"/>
          <w:sz w:val="20"/>
          <w:u w:val="single"/>
        </w:rPr>
        <w:t>here</w:t>
      </w:r>
    </w:p>
    <w:p>
      <w:pPr>
        <w:pStyle w:val="TextBody"/>
        <w:bidi w:val="0"/>
        <w:spacing w:before="0" w:after="0"/>
        <w:ind w:left="0" w:right="0" w:hanging="0"/>
        <w:jc w:val="both"/>
        <w:rPr/>
      </w:pPr>
      <w:r>
        <w:rPr>
          <w:rStyle w:val="StrongEmphasis"/>
          <w:rFonts w:ascii="times new roman" w:hAnsi="times new roman"/>
          <w:sz w:val="20"/>
        </w:rPr>
        <w:t xml:space="preserve">Webcast registration link: </w:t>
      </w:r>
      <w:r>
        <w:rPr>
          <w:rStyle w:val="StrongEmphasis"/>
          <w:rFonts w:ascii="times new roman" w:hAnsi="times new roman"/>
          <w:color w:val="0000FF"/>
          <w:sz w:val="20"/>
          <w:u w:val="single"/>
        </w:rPr>
        <w:t>here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conference call will also be available for replay in the Events section of the Company’s website, along with the transcript, at </w:t>
      </w:r>
      <w:r>
        <w:rPr>
          <w:rFonts w:ascii="times new roman" w:hAnsi="times new roman"/>
          <w:color w:val="0000FF"/>
          <w:sz w:val="20"/>
          <w:u w:val="single"/>
        </w:rPr>
        <w:t>https://www.pedevco.com/investors</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E47D3A"/>
          <w:sz w:val="20"/>
        </w:rPr>
        <w:t>About PEDEVCO Corp.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PEDEVCO Corp. (NYSE American: PED) is a publicly traded energy company engaged in the acquisition and development of strategic oil and gas assets in the Rocky Mountain region. The Company’s principal assets include its D-J Basin assets in southeastern Wyoming and northern Colorado, its Powder River Basin assets in northeastern Wyoming, and its Permian Basin assets in eastern New Mexico, collectively representing over 300,000 net acres. PEDEVCO is headquartered in Houston, Texas. More information about PEDEVCO can be found at www.pedevco.com.</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4</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655" w:type="dxa"/>
        <w:jc w:val="left"/>
        <w:tblInd w:w="0" w:type="dxa"/>
        <w:tblLayout w:type="fixed"/>
        <w:tblCellMar>
          <w:top w:w="0" w:type="dxa"/>
          <w:left w:w="0" w:type="dxa"/>
          <w:bottom w:w="0" w:type="dxa"/>
          <w:right w:w="0" w:type="dxa"/>
        </w:tblCellMar>
      </w:tblPr>
      <w:tblGrid>
        <w:gridCol w:w="2655"/>
      </w:tblGrid>
      <w:tr>
        <w:trPr/>
        <w:tc>
          <w:tcPr>
            <w:tcW w:w="2655" w:type="dxa"/>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28775" cy="333375"/>
                          </a:xfrm>
                          <a:prstGeom prst="rect">
                            <a:avLst/>
                          </a:prstGeom>
                        </pic:spPr>
                      </pic:pic>
                    </a:graphicData>
                  </a:graphic>
                </wp:inline>
              </w:drawing>
            </w:r>
          </w:p>
        </w:tc>
      </w:tr>
      <w:tr>
        <w:trPr/>
        <w:tc>
          <w:tcPr>
            <w:tcW w:w="2655" w:type="dxa"/>
            <w:tcBorders>
              <w:bottom w:val="single" w:sz="2" w:space="0" w:color="F07D2D"/>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283"/>
        <w:jc w:val="left"/>
        <w:rPr/>
      </w:pPr>
      <w:r>
        <w:rPr>
          <w:rStyle w:val="StrongEmphasis"/>
          <w:color w:val="E47D3A"/>
        </w:rPr>
        <w:t>Cautionary Statement Regarding Forward-Looking Statements</w:t>
      </w:r>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press release contains forward-looking statements within the meaning of the Private Securities Litigation Reform Act of 1995, Section 27A of the Securities Act of 1933, as amended, and Section 21E of the Securities Exchange Act of 1934, as amended. Words such as “may,” “could,” “expect,” “intend,” “plan,” “seek,” “anticipate,” “believe,” “estimate,” “predict,” “potential,” “continue,” “likely,” “will,” “would” and variations of these terms and similar expressions, or the negative of these terms or similar expressions, are intended to identify forward-looking statements. These statements involve known and unknown risks, uncertainties and other factors, which may cause actual results to differ materially from those expressed or implied. Forward-looking statements in this release include, but are not limited to, statements regarding the Company’s second-half 2026 development program, including planned capital investment, well count and the timing and expected contribution of first production, expected benefits of the Juniper Merger including cost savings and operational synergies, expected operational efficiencies and cost reductions, expected production levels, including expected third-quarter production cadence and the expected contribution of the Hastings well, development plans, permitting and other regulatory matters affecting the Company’s acreage, estimated reserves, and the Company’s ability to fund its operations and service its obligations. Factors that could cause actual results to differ include, among others: volatility in oil and natural gas prices; the Company’s ability to successfully integrate the acquired operations; the Company’s ability to service its credit facility obligations; results of development and production activities; changes in operating costs; regulatory developments including those affecting federal and state leases; availability and costs of services and materials; and the risks described in the Company’s Annual Report on Form 10-K for the year ended December 31, 2025, its Quarterly Reports on Form 10-Q, and other filings with the SEC. The Company undertakes no obligation to update forward-looking statements to reflect events or circumstances after the date of this release.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E47D3A"/>
          <w:sz w:val="20"/>
        </w:rPr>
        <w:t>Use of Non-GAAP Financial Information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press release includes EBITDA and Adjusted EBITDA, which are presented as supplemental measures of the Company’s performance. These are not recognized in accordance with generally accepted accounting principles (“GAAP”) and should not be viewed as an alternative to GAAP measures of performance.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EBITDA represents net income before interest, taxes, depreciation and amortization. Adjusted EBITDA represents EBITDA adjusted to exclude share-based compensation, impairment of oil and gas properties, unrealized (gain) loss on derivative contracts, gain on sale of oil and gas properties, merger acquisition costs, and note receivable – credit loss. The Company believes these measures provide additional useful information to investors and are frequently used by analysts, investors and other interested parties to evaluate companies in the oil and gas industry. Management uses Adjusted EBITDA to evaluate the Company’s operating performance and cash-generating capacity across periods on a consistent basis, to assist in capital allocation decisions and to facilitate comparisons with other companies in the oil and gas industry, some of which calculate similarly titled measures differently. However, EBITDA and Adjusted EBITDA have limitations and should not be considered in isolation or as substitutes for analysis of results as reported under GAAP. Additionally, the Company’s calculation of these measures may differ from similarly titled measures used by other companies. A reconciliation of net (loss) income to Adjusted EBITDA is provided at the end of this release. The most directly comparable GAAP measure is net (loss) income, which is presented with equal or greater prominence in this release.</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5</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655" w:type="dxa"/>
        <w:jc w:val="left"/>
        <w:tblInd w:w="0" w:type="dxa"/>
        <w:tblLayout w:type="fixed"/>
        <w:tblCellMar>
          <w:top w:w="0" w:type="dxa"/>
          <w:left w:w="0" w:type="dxa"/>
          <w:bottom w:w="0" w:type="dxa"/>
          <w:right w:w="0" w:type="dxa"/>
        </w:tblCellMar>
      </w:tblPr>
      <w:tblGrid>
        <w:gridCol w:w="2655"/>
      </w:tblGrid>
      <w:tr>
        <w:trPr/>
        <w:tc>
          <w:tcPr>
            <w:tcW w:w="2655" w:type="dxa"/>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28775" cy="333375"/>
                          </a:xfrm>
                          <a:prstGeom prst="rect">
                            <a:avLst/>
                          </a:prstGeom>
                        </pic:spPr>
                      </pic:pic>
                    </a:graphicData>
                  </a:graphic>
                </wp:inline>
              </w:drawing>
            </w:r>
          </w:p>
        </w:tc>
      </w:tr>
      <w:tr>
        <w:trPr/>
        <w:tc>
          <w:tcPr>
            <w:tcW w:w="2655" w:type="dxa"/>
            <w:tcBorders>
              <w:bottom w:val="single" w:sz="2" w:space="0" w:color="F07D2D"/>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 xml:space="preserve">PEDEVCO CORP. </w:t>
      </w:r>
    </w:p>
    <w:p>
      <w:pPr>
        <w:pStyle w:val="TextBody"/>
        <w:bidi w:val="0"/>
        <w:spacing w:before="0" w:after="0"/>
        <w:ind w:left="0" w:right="0" w:hanging="0"/>
        <w:jc w:val="center"/>
        <w:rPr/>
      </w:pPr>
      <w:r>
        <w:rPr>
          <w:rStyle w:val="StrongEmphasis"/>
          <w:rFonts w:ascii="times new roman" w:hAnsi="times new roman"/>
          <w:sz w:val="20"/>
        </w:rPr>
        <w:t>CONSOLIDATED BALANCE SHEETS</w:t>
      </w:r>
    </w:p>
    <w:p>
      <w:pPr>
        <w:pStyle w:val="TextBody"/>
        <w:bidi w:val="0"/>
        <w:spacing w:before="0" w:after="0"/>
        <w:ind w:left="0" w:right="0" w:hanging="0"/>
        <w:jc w:val="center"/>
        <w:rPr/>
      </w:pPr>
      <w:r>
        <w:rPr>
          <w:rStyle w:val="Emphasis"/>
          <w:rFonts w:ascii="times new roman" w:hAnsi="times new roman"/>
          <w:sz w:val="20"/>
        </w:rPr>
        <w:t>(amounts in thousands, except share and per share data)</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498"/>
        <w:gridCol w:w="90"/>
        <w:gridCol w:w="170"/>
        <w:gridCol w:w="905"/>
        <w:gridCol w:w="125"/>
        <w:gridCol w:w="90"/>
        <w:gridCol w:w="182"/>
        <w:gridCol w:w="973"/>
        <w:gridCol w:w="172"/>
      </w:tblGrid>
      <w:tr>
        <w:trPr/>
        <w:tc>
          <w:tcPr>
            <w:tcW w:w="7498"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June 30, </w:t>
            </w:r>
          </w:p>
          <w:p>
            <w:pPr>
              <w:pStyle w:val="TableContents"/>
              <w:bidi w:val="0"/>
              <w:spacing w:before="0" w:after="0"/>
              <w:ind w:left="0" w:right="0" w:hanging="0"/>
              <w:jc w:val="center"/>
              <w:rPr/>
            </w:pPr>
            <w:r>
              <w:rPr>
                <w:rStyle w:val="StrongEmphasis"/>
                <w:rFonts w:ascii="times new roman" w:hAnsi="times new roman"/>
                <w:sz w:val="20"/>
              </w:rPr>
              <w:t>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December 31,</w:t>
            </w:r>
          </w:p>
          <w:p>
            <w:pPr>
              <w:pStyle w:val="TableContents"/>
              <w:bidi w:val="0"/>
              <w:spacing w:before="0" w:after="0"/>
              <w:ind w:left="0" w:right="0" w:hanging="0"/>
              <w:jc w:val="center"/>
              <w:rPr/>
            </w:pPr>
            <w:r>
              <w:rPr>
                <w:rStyle w:val="StrongEmphasis"/>
                <w:rFonts w:ascii="times new roman" w:hAnsi="times new roman"/>
                <w:sz w:val="20"/>
              </w:rPr>
              <w:t>2025</w:t>
            </w:r>
          </w:p>
        </w:tc>
        <w:tc>
          <w:tcPr>
            <w:tcW w:w="172" w:type="dxa"/>
            <w:tcBorders/>
            <w:vAlign w:val="center"/>
          </w:tcPr>
          <w:p>
            <w:pPr>
              <w:pStyle w:val="TableContents"/>
              <w:bidi w:val="0"/>
              <w:spacing w:before="0" w:after="0"/>
              <w:ind w:left="0" w:right="0" w:hanging="0"/>
              <w:jc w:val="left"/>
              <w:rPr/>
            </w:pPr>
            <w:r>
              <w:rPr/>
              <w:t> </w:t>
            </w:r>
          </w:p>
        </w:tc>
      </w:tr>
      <w:tr>
        <w:trPr/>
        <w:tc>
          <w:tcPr>
            <w:tcW w:w="7498"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(Unaudited)</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0"/>
              <w:ind w:left="0" w:right="0" w:hanging="0"/>
              <w:jc w:val="left"/>
              <w:rPr/>
            </w:pPr>
            <w:r>
              <w:rPr/>
              <w:t> </w:t>
            </w:r>
          </w:p>
        </w:tc>
      </w:tr>
      <w:tr>
        <w:trPr/>
        <w:tc>
          <w:tcPr>
            <w:tcW w:w="7498" w:type="dxa"/>
            <w:tcBorders/>
            <w:vAlign w:val="center"/>
          </w:tcPr>
          <w:p>
            <w:pPr>
              <w:pStyle w:val="TableContents"/>
              <w:bidi w:val="0"/>
              <w:spacing w:before="0" w:after="0"/>
              <w:ind w:left="0" w:right="0" w:hanging="0"/>
              <w:jc w:val="center"/>
              <w:rPr/>
            </w:pPr>
            <w:r>
              <w:rPr>
                <w:rStyle w:val="StrongEmphasis"/>
                <w:rFonts w:ascii="times new roman" w:hAnsi="times new roman"/>
                <w:sz w:val="20"/>
              </w:rPr>
              <w:t>Assets</w:t>
            </w:r>
          </w:p>
        </w:tc>
        <w:tc>
          <w:tcPr>
            <w:tcW w:w="90"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r>
      <w:tr>
        <w:trPr/>
        <w:tc>
          <w:tcPr>
            <w:tcW w:w="74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0"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10,805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283"/>
              <w:jc w:val="left"/>
              <w:rPr/>
            </w:pPr>
            <w:r>
              <w:rPr/>
              <w:t>$</w:t>
            </w:r>
          </w:p>
        </w:tc>
        <w:tc>
          <w:tcPr>
            <w:tcW w:w="973" w:type="dxa"/>
            <w:tcBorders/>
            <w:shd w:fill="CCEEFF" w:val="clear"/>
            <w:vAlign w:val="center"/>
          </w:tcPr>
          <w:p>
            <w:pPr>
              <w:pStyle w:val="TableContents"/>
              <w:bidi w:val="0"/>
              <w:spacing w:before="0" w:after="283"/>
              <w:jc w:val="right"/>
              <w:rPr/>
            </w:pPr>
            <w:r>
              <w:rPr/>
              <w:t>3,222</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1,337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 – oil and gas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pPr>
            <w:r>
              <w:rPr/>
              <w:t>24,010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283"/>
              <w:jc w:val="right"/>
              <w:rPr/>
            </w:pPr>
            <w:r>
              <w:rPr/>
              <w:t>25,666</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141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61</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assets,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pPr>
            <w:r>
              <w:rPr/>
              <w:t>3,347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283"/>
              <w:jc w:val="right"/>
              <w:rPr/>
            </w:pPr>
            <w:r>
              <w:rPr/>
              <w:t>8,368</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jc w:val="right"/>
              <w:rPr/>
            </w:pPr>
            <w:r>
              <w:rPr/>
              <w:t>180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jc w:val="right"/>
              <w:rPr/>
            </w:pPr>
            <w:r>
              <w:rPr/>
              <w:t>434</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39,820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jc w:val="right"/>
              <w:rPr/>
            </w:pPr>
            <w:r>
              <w:rPr/>
              <w:t>37,751</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 subject to amortization, net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295,675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303,411</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 not subject to amortization, net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16,623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jc w:val="right"/>
              <w:rPr/>
            </w:pPr>
            <w:r>
              <w:rPr/>
              <w:t>18,859</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oil and gas properties, net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312,298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322,270</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assets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5,316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9,640</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 right-of-use asset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pPr>
            <w:r>
              <w:rPr/>
              <w:t>124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283"/>
              <w:jc w:val="right"/>
              <w:rPr/>
            </w:pPr>
            <w:r>
              <w:rPr/>
              <w:t>213</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assets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2,141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jc w:val="right"/>
              <w:rPr/>
            </w:pPr>
            <w:r>
              <w:rPr/>
              <w:t>5,995</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pPr>
            <w:r>
              <w:rPr/>
              <w:t>359,699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3" w:type="dxa"/>
            <w:tcBorders>
              <w:bottom w:val="double" w:sz="6" w:space="0" w:color="000000"/>
            </w:tcBorders>
            <w:shd w:fill="FFFFFF" w:val="clear"/>
            <w:tcMar>
              <w:bottom w:w="28" w:type="dxa"/>
            </w:tcMar>
            <w:vAlign w:val="center"/>
          </w:tcPr>
          <w:p>
            <w:pPr>
              <w:pStyle w:val="TableContents"/>
              <w:bidi w:val="0"/>
              <w:spacing w:before="0" w:after="283"/>
              <w:jc w:val="right"/>
              <w:rPr/>
            </w:pPr>
            <w:r>
              <w:rPr/>
              <w:t>375,869</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center"/>
              <w:rPr/>
            </w:pPr>
            <w:r>
              <w:rPr>
                <w:rStyle w:val="StrongEmphasis"/>
                <w:rFonts w:ascii="times new roman" w:hAnsi="times new roman"/>
                <w:sz w:val="20"/>
              </w:rPr>
              <w:t>Liabilities and Shareholders’ Equity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pPr>
            <w:r>
              <w:rPr/>
              <w:t>6,548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283"/>
              <w:jc w:val="left"/>
              <w:rPr/>
            </w:pPr>
            <w:r>
              <w:rPr/>
              <w:t>$</w:t>
            </w:r>
          </w:p>
        </w:tc>
        <w:tc>
          <w:tcPr>
            <w:tcW w:w="973" w:type="dxa"/>
            <w:tcBorders/>
            <w:shd w:fill="FFFFFF" w:val="clear"/>
            <w:vAlign w:val="center"/>
          </w:tcPr>
          <w:p>
            <w:pPr>
              <w:pStyle w:val="TableContents"/>
              <w:bidi w:val="0"/>
              <w:spacing w:before="0" w:after="283"/>
              <w:jc w:val="right"/>
              <w:rPr/>
            </w:pPr>
            <w:r>
              <w:rPr/>
              <w:t>32,436</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pPr>
            <w:r>
              <w:rPr/>
              <w:t>13,408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283"/>
              <w:jc w:val="right"/>
              <w:rPr/>
            </w:pPr>
            <w:r>
              <w:rPr/>
              <w:t>8,245</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 payable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22,231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21,480</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 current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125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182</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liabilities –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pPr>
            <w:r>
              <w:rPr/>
              <w:t>5,687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283"/>
              <w:jc w:val="right"/>
              <w:rPr/>
            </w:pPr>
            <w:r>
              <w:rPr/>
              <w:t>964</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Deposit on sale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2,000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743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jc w:val="right"/>
              <w:rPr/>
            </w:pPr>
            <w:r>
              <w:rPr/>
              <w:t>1,170</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50,742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64,477</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Revolving credit facility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pPr>
            <w:r>
              <w:rPr/>
              <w:t>85,000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283"/>
              <w:jc w:val="right"/>
              <w:rPr/>
            </w:pPr>
            <w:r>
              <w:rPr/>
              <w:t>87,000</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net of current portion</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32</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pPr>
            <w:r>
              <w:rPr/>
              <w:t>7,067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283"/>
              <w:jc w:val="right"/>
              <w:rPr/>
            </w:pPr>
            <w:r>
              <w:rPr/>
              <w:t>6,358</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net of current portion</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13,688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7,641</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pPr>
            <w:r>
              <w:rPr/>
              <w:t>921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283"/>
              <w:jc w:val="right"/>
              <w:rPr/>
            </w:pPr>
            <w:r>
              <w:rPr/>
              <w:t>800</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jc w:val="right"/>
              <w:rPr/>
            </w:pPr>
            <w:r>
              <w:rPr/>
              <w:t>2,230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jc w:val="right"/>
              <w:rPr/>
            </w:pPr>
            <w:r>
              <w:rPr/>
              <w:t>2,197</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159,648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jc w:val="right"/>
              <w:rPr/>
            </w:pPr>
            <w:r>
              <w:rPr/>
              <w:t>168,505</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Commitments and contingencies (Note 12)</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Shareholders’ equity: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Series A preferred stock, $0.001 par value, 200,000,000 shares authorized; -0- and 17,013,637 shares issued and outstanding, respectively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17,014</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$0.001 par value, 200,000,000 shares authorized; 13,290,902 and 4,797,239 shares issued and outstanding, respectively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jc w:val="right"/>
              <w:rPr/>
            </w:pPr>
            <w:r>
              <w:rPr/>
              <w:t>13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283"/>
              <w:jc w:val="right"/>
              <w:rPr/>
            </w:pPr>
            <w:r>
              <w:rPr/>
              <w:t>5</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jc w:val="right"/>
              <w:rPr/>
            </w:pPr>
            <w:r>
              <w:rPr/>
              <w:t>330,071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3" w:type="dxa"/>
            <w:tcBorders/>
            <w:shd w:fill="FFFFFF" w:val="clear"/>
            <w:vAlign w:val="center"/>
          </w:tcPr>
          <w:p>
            <w:pPr>
              <w:pStyle w:val="TableContents"/>
              <w:bidi w:val="0"/>
              <w:spacing w:before="0" w:after="283"/>
              <w:jc w:val="right"/>
              <w:rPr/>
            </w:pPr>
            <w:r>
              <w:rPr/>
              <w:t>312,205</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deficit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jc w:val="right"/>
              <w:rPr/>
            </w:pPr>
            <w:r>
              <w:rPr/>
              <w:t>(130,033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jc w:val="right"/>
              <w:rPr/>
            </w:pPr>
            <w:r>
              <w:rPr/>
              <w:t>(121,860</w:t>
            </w:r>
          </w:p>
        </w:tc>
        <w:tc>
          <w:tcPr>
            <w:tcW w:w="172" w:type="dxa"/>
            <w:tcBorders/>
            <w:shd w:fill="CCEEFF" w:val="clear"/>
            <w:vAlign w:val="center"/>
          </w:tcPr>
          <w:p>
            <w:pPr>
              <w:pStyle w:val="TableContents"/>
              <w:bidi w:val="0"/>
              <w:spacing w:before="0" w:after="283"/>
              <w:jc w:val="left"/>
              <w:rPr/>
            </w:pPr>
            <w:r>
              <w:rPr/>
              <w:t>)</w:t>
            </w:r>
          </w:p>
        </w:tc>
      </w:tr>
      <w:tr>
        <w:trPr/>
        <w:tc>
          <w:tcPr>
            <w:tcW w:w="749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shareholders’ equity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jc w:val="right"/>
              <w:rPr/>
            </w:pPr>
            <w:r>
              <w:rPr/>
              <w:t>200,051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jc w:val="right"/>
              <w:rPr/>
            </w:pPr>
            <w:r>
              <w:rPr/>
              <w:t>207,364</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74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 and shareholders’ equity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359,699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jc w:val="right"/>
              <w:rPr/>
            </w:pPr>
            <w:r>
              <w:rPr/>
              <w:t>375,869</w:t>
            </w:r>
          </w:p>
        </w:tc>
        <w:tc>
          <w:tcPr>
            <w:tcW w:w="172"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6</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655" w:type="dxa"/>
        <w:jc w:val="left"/>
        <w:tblInd w:w="0" w:type="dxa"/>
        <w:tblLayout w:type="fixed"/>
        <w:tblCellMar>
          <w:top w:w="0" w:type="dxa"/>
          <w:left w:w="0" w:type="dxa"/>
          <w:bottom w:w="0" w:type="dxa"/>
          <w:right w:w="0" w:type="dxa"/>
        </w:tblCellMar>
      </w:tblPr>
      <w:tblGrid>
        <w:gridCol w:w="2655"/>
      </w:tblGrid>
      <w:tr>
        <w:trPr/>
        <w:tc>
          <w:tcPr>
            <w:tcW w:w="2655" w:type="dxa"/>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28775" cy="333375"/>
                          </a:xfrm>
                          <a:prstGeom prst="rect">
                            <a:avLst/>
                          </a:prstGeom>
                        </pic:spPr>
                      </pic:pic>
                    </a:graphicData>
                  </a:graphic>
                </wp:inline>
              </w:drawing>
            </w:r>
          </w:p>
        </w:tc>
      </w:tr>
      <w:tr>
        <w:trPr/>
        <w:tc>
          <w:tcPr>
            <w:tcW w:w="2655" w:type="dxa"/>
            <w:tcBorders>
              <w:bottom w:val="single" w:sz="2" w:space="0" w:color="F07D2D"/>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 xml:space="preserve">PEDEVCO CORP. </w:t>
      </w:r>
    </w:p>
    <w:p>
      <w:pPr>
        <w:pStyle w:val="TextBody"/>
        <w:bidi w:val="0"/>
        <w:spacing w:before="0" w:after="0"/>
        <w:ind w:left="0" w:right="0" w:hanging="0"/>
        <w:jc w:val="center"/>
        <w:rPr/>
      </w:pPr>
      <w:r>
        <w:rPr>
          <w:rStyle w:val="StrongEmphasis"/>
          <w:rFonts w:ascii="times new roman" w:hAnsi="times new roman"/>
          <w:sz w:val="20"/>
        </w:rPr>
        <w:t>CONSOLIDATED STATEMENTS OF OPERATIONS</w:t>
      </w:r>
    </w:p>
    <w:p>
      <w:pPr>
        <w:pStyle w:val="TextBody"/>
        <w:bidi w:val="0"/>
        <w:spacing w:before="0" w:after="0"/>
        <w:ind w:left="0" w:right="0" w:hanging="0"/>
        <w:jc w:val="center"/>
        <w:rPr/>
      </w:pPr>
      <w:r>
        <w:rPr>
          <w:rStyle w:val="Emphasis"/>
          <w:rFonts w:ascii="times new roman" w:hAnsi="times new roman"/>
          <w:sz w:val="20"/>
        </w:rPr>
        <w:t>(amounts in thousands, except per share data)</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4340"/>
        <w:gridCol w:w="90"/>
        <w:gridCol w:w="170"/>
        <w:gridCol w:w="1130"/>
        <w:gridCol w:w="125"/>
        <w:gridCol w:w="90"/>
        <w:gridCol w:w="170"/>
        <w:gridCol w:w="1010"/>
        <w:gridCol w:w="125"/>
        <w:gridCol w:w="90"/>
        <w:gridCol w:w="170"/>
        <w:gridCol w:w="1130"/>
        <w:gridCol w:w="125"/>
        <w:gridCol w:w="90"/>
        <w:gridCol w:w="170"/>
        <w:gridCol w:w="1010"/>
        <w:gridCol w:w="170"/>
      </w:tblGrid>
      <w:tr>
        <w:trPr/>
        <w:tc>
          <w:tcPr>
            <w:tcW w:w="43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69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Three Months Ended June 30,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69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Six Months Ended June 30, </w:t>
            </w:r>
          </w:p>
        </w:tc>
        <w:tc>
          <w:tcPr>
            <w:tcW w:w="170" w:type="dxa"/>
            <w:tcBorders/>
            <w:vAlign w:val="center"/>
          </w:tcPr>
          <w:p>
            <w:pPr>
              <w:pStyle w:val="TableContents"/>
              <w:bidi w:val="0"/>
              <w:spacing w:before="0" w:after="0"/>
              <w:ind w:left="0" w:right="0" w:hanging="0"/>
              <w:jc w:val="left"/>
              <w:rPr/>
            </w:pPr>
            <w:r>
              <w:rPr/>
              <w:t> </w:t>
            </w:r>
          </w:p>
        </w:tc>
      </w:tr>
      <w:tr>
        <w:trPr/>
        <w:tc>
          <w:tcPr>
            <w:tcW w:w="434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0" w:type="dxa"/>
            <w:tcBorders/>
            <w:vAlign w:val="center"/>
          </w:tcPr>
          <w:p>
            <w:pPr>
              <w:pStyle w:val="TableContents"/>
              <w:bidi w:val="0"/>
              <w:spacing w:before="0" w:after="0"/>
              <w:ind w:left="0" w:right="0" w:hanging="0"/>
              <w:jc w:val="left"/>
              <w:rPr/>
            </w:pPr>
            <w:r>
              <w:rPr/>
              <w:t> </w:t>
            </w:r>
          </w:p>
        </w:tc>
      </w:tr>
      <w:tr>
        <w:trPr/>
        <w:tc>
          <w:tcPr>
            <w:tcW w:w="43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sales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46,113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6,972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86,335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15,708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operating costs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16,406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2,799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32,763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6,211</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Exploration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general and administrative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3,408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1,693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6,515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3,289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10,152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3,857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22,602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7,203</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Impairment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jc w:val="right"/>
              <w:rPr/>
            </w:pPr>
            <w:r>
              <w:rPr/>
              <w:t>817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510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jc w:val="right"/>
              <w:rPr/>
            </w:pPr>
            <w:r>
              <w:rPr/>
              <w:t>2,422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742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30,807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8,859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64,326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17,445</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on sale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52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1,021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52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1,021</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Note receivable - credit loss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(1,378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(1,378</w:t>
            </w:r>
          </w:p>
        </w:tc>
        <w:tc>
          <w:tcPr>
            <w:tcW w:w="170" w:type="dxa"/>
            <w:tcBorders/>
            <w:shd w:fill="CCEEFF" w:val="clear"/>
            <w:vAlign w:val="center"/>
          </w:tcPr>
          <w:p>
            <w:pPr>
              <w:pStyle w:val="TableContents"/>
              <w:bidi w:val="0"/>
              <w:spacing w:before="0" w:after="283"/>
              <w:jc w:val="left"/>
              <w:rPr/>
            </w:pPr>
            <w:r>
              <w:rPr/>
              <w:t>)</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income (loss)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15,358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(2,244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22,061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(2,094</w:t>
            </w:r>
          </w:p>
        </w:tc>
        <w:tc>
          <w:tcPr>
            <w:tcW w:w="170" w:type="dxa"/>
            <w:tcBorders/>
            <w:shd w:fill="FFFFFF" w:val="clear"/>
            <w:vAlign w:val="center"/>
          </w:tcPr>
          <w:p>
            <w:pPr>
              <w:pStyle w:val="TableContents"/>
              <w:bidi w:val="0"/>
              <w:spacing w:before="0" w:after="283"/>
              <w:jc w:val="left"/>
              <w:rPr/>
            </w:pPr>
            <w:r>
              <w:rPr/>
              <w:t>)</w:t>
            </w:r>
          </w:p>
        </w:tc>
      </w:tr>
      <w:tr>
        <w:trPr/>
        <w:tc>
          <w:tcPr>
            <w:tcW w:w="434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(1,973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(3,968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income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76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63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134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127</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5,014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(26,252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jc w:val="right"/>
              <w:rPr/>
            </w:pPr>
            <w:r>
              <w:rPr/>
              <w:t>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15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jc w:val="right"/>
              <w:rPr/>
            </w:pPr>
            <w:r>
              <w:rPr/>
              <w:t>11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17</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other (expense) income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3,123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78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(30,075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144</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(loss) before 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18,481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(2,166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(8,014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(1,950</w:t>
            </w:r>
          </w:p>
        </w:tc>
        <w:tc>
          <w:tcPr>
            <w:tcW w:w="170" w:type="dxa"/>
            <w:tcBorders/>
            <w:shd w:fill="FFFFFF" w:val="clear"/>
            <w:vAlign w:val="center"/>
          </w:tcPr>
          <w:p>
            <w:pPr>
              <w:pStyle w:val="TableContents"/>
              <w:bidi w:val="0"/>
              <w:spacing w:before="0" w:after="283"/>
              <w:jc w:val="left"/>
              <w:rPr/>
            </w:pPr>
            <w:r>
              <w:rPr/>
              <w:t>)</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benefit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(1,027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490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414</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17,454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(1,676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(8,173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(1,536</w:t>
            </w:r>
          </w:p>
        </w:tc>
        <w:tc>
          <w:tcPr>
            <w:tcW w:w="170" w:type="dxa"/>
            <w:tcBorders/>
            <w:shd w:fill="CCEEFF" w:val="clear"/>
            <w:vAlign w:val="center"/>
          </w:tcPr>
          <w:p>
            <w:pPr>
              <w:pStyle w:val="TableContents"/>
              <w:bidi w:val="0"/>
              <w:spacing w:before="0" w:after="283"/>
              <w:jc w:val="left"/>
              <w:rPr/>
            </w:pPr>
            <w:r>
              <w:rPr/>
              <w:t>)</w:t>
            </w:r>
          </w:p>
        </w:tc>
      </w:tr>
      <w:tr>
        <w:trPr/>
        <w:tc>
          <w:tcPr>
            <w:tcW w:w="43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Earnings (loss) per common share: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1.31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(0.37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(0.77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(0.34</w:t>
            </w:r>
          </w:p>
        </w:tc>
        <w:tc>
          <w:tcPr>
            <w:tcW w:w="170" w:type="dxa"/>
            <w:tcBorders/>
            <w:shd w:fill="FFFFFF" w:val="clear"/>
            <w:vAlign w:val="center"/>
          </w:tcPr>
          <w:p>
            <w:pPr>
              <w:pStyle w:val="TableContents"/>
              <w:bidi w:val="0"/>
              <w:spacing w:before="0" w:after="283"/>
              <w:jc w:val="left"/>
              <w:rPr/>
            </w:pPr>
            <w:r>
              <w:rPr/>
              <w:t>)</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1.31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(0.37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(0.77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(0.34</w:t>
            </w:r>
          </w:p>
        </w:tc>
        <w:tc>
          <w:tcPr>
            <w:tcW w:w="170" w:type="dxa"/>
            <w:tcBorders/>
            <w:shd w:fill="CCEEFF" w:val="clear"/>
            <w:vAlign w:val="center"/>
          </w:tcPr>
          <w:p>
            <w:pPr>
              <w:pStyle w:val="TableContents"/>
              <w:bidi w:val="0"/>
              <w:spacing w:before="0" w:after="283"/>
              <w:jc w:val="left"/>
              <w:rPr/>
            </w:pPr>
            <w:r>
              <w:rPr/>
              <w:t>)</w:t>
            </w:r>
          </w:p>
        </w:tc>
      </w:tr>
      <w:tr>
        <w:trPr/>
        <w:tc>
          <w:tcPr>
            <w:tcW w:w="434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number of common shares outstanding:</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13,300,231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4,570,178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10,620,121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4,556,866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13,300,231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4,570,178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10,620,121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4,556,866</w:t>
            </w:r>
          </w:p>
        </w:tc>
        <w:tc>
          <w:tcPr>
            <w:tcW w:w="17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7</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655" w:type="dxa"/>
        <w:jc w:val="left"/>
        <w:tblInd w:w="0" w:type="dxa"/>
        <w:tblLayout w:type="fixed"/>
        <w:tblCellMar>
          <w:top w:w="0" w:type="dxa"/>
          <w:left w:w="0" w:type="dxa"/>
          <w:bottom w:w="0" w:type="dxa"/>
          <w:right w:w="0" w:type="dxa"/>
        </w:tblCellMar>
      </w:tblPr>
      <w:tblGrid>
        <w:gridCol w:w="2655"/>
      </w:tblGrid>
      <w:tr>
        <w:trPr/>
        <w:tc>
          <w:tcPr>
            <w:tcW w:w="2655" w:type="dxa"/>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28775" cy="333375"/>
                          </a:xfrm>
                          <a:prstGeom prst="rect">
                            <a:avLst/>
                          </a:prstGeom>
                        </pic:spPr>
                      </pic:pic>
                    </a:graphicData>
                  </a:graphic>
                </wp:inline>
              </w:drawing>
            </w:r>
          </w:p>
        </w:tc>
      </w:tr>
      <w:tr>
        <w:trPr/>
        <w:tc>
          <w:tcPr>
            <w:tcW w:w="2655" w:type="dxa"/>
            <w:tcBorders>
              <w:bottom w:val="single" w:sz="2" w:space="0" w:color="F07D2D"/>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CONSOLIDATED STATEMENTS OF CASH FLOWS</w:t>
      </w:r>
    </w:p>
    <w:p>
      <w:pPr>
        <w:pStyle w:val="TextBody"/>
        <w:bidi w:val="0"/>
        <w:spacing w:before="0" w:after="0"/>
        <w:ind w:left="0" w:right="0" w:hanging="0"/>
        <w:jc w:val="center"/>
        <w:rPr/>
      </w:pPr>
      <w:r>
        <w:rPr>
          <w:rStyle w:val="Emphasis"/>
          <w:rFonts w:ascii="times new roman" w:hAnsi="times new roman"/>
          <w:sz w:val="20"/>
        </w:rPr>
        <w:t>(amounts in thousands)</w:t>
      </w:r>
    </w:p>
    <w:p>
      <w:pPr>
        <w:pStyle w:val="TextBody"/>
        <w:bidi w:val="0"/>
        <w:spacing w:before="0" w:after="0"/>
        <w:ind w:left="0" w:right="0" w:hanging="0"/>
        <w:jc w:val="center"/>
        <w:rPr/>
      </w:pPr>
      <w:r>
        <w:rPr/>
        <w:t> </w:t>
      </w:r>
    </w:p>
    <w:tbl>
      <w:tblPr>
        <w:tblW w:w="9776" w:type="dxa"/>
        <w:jc w:val="left"/>
        <w:tblInd w:w="0" w:type="dxa"/>
        <w:tblLayout w:type="fixed"/>
        <w:tblCellMar>
          <w:top w:w="0" w:type="dxa"/>
          <w:left w:w="0" w:type="dxa"/>
          <w:bottom w:w="0" w:type="dxa"/>
          <w:right w:w="0" w:type="dxa"/>
        </w:tblCellMar>
      </w:tblPr>
      <w:tblGrid>
        <w:gridCol w:w="7145"/>
        <w:gridCol w:w="90"/>
        <w:gridCol w:w="196"/>
        <w:gridCol w:w="909"/>
        <w:gridCol w:w="144"/>
        <w:gridCol w:w="104"/>
        <w:gridCol w:w="196"/>
        <w:gridCol w:w="822"/>
        <w:gridCol w:w="170"/>
      </w:tblGrid>
      <w:tr>
        <w:trPr/>
        <w:tc>
          <w:tcPr>
            <w:tcW w:w="71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371"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Six Months Ended June 30, </w:t>
            </w:r>
          </w:p>
        </w:tc>
        <w:tc>
          <w:tcPr>
            <w:tcW w:w="170"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44" w:type="dxa"/>
            <w:tcBorders/>
            <w:vAlign w:val="center"/>
          </w:tcPr>
          <w:p>
            <w:pPr>
              <w:pStyle w:val="TableContents"/>
              <w:bidi w:val="0"/>
              <w:spacing w:before="0" w:after="0"/>
              <w:ind w:left="0" w:right="0" w:hanging="0"/>
              <w:jc w:val="left"/>
              <w:rPr/>
            </w:pPr>
            <w:r>
              <w:rPr/>
              <w:t> </w:t>
            </w:r>
          </w:p>
        </w:tc>
        <w:tc>
          <w:tcPr>
            <w:tcW w:w="104" w:type="dxa"/>
            <w:tcBorders/>
            <w:vAlign w:val="center"/>
          </w:tcPr>
          <w:p>
            <w:pPr>
              <w:pStyle w:val="TableContents"/>
              <w:bidi w:val="0"/>
              <w:spacing w:before="0" w:after="0"/>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0"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90" w:type="dxa"/>
            <w:tcBorders/>
            <w:vAlign w:val="center"/>
          </w:tcPr>
          <w:p>
            <w:pPr>
              <w:pStyle w:val="TableContents"/>
              <w:bidi w:val="0"/>
              <w:spacing w:before="0" w:after="0"/>
              <w:ind w:left="0" w:right="0" w:hanging="0"/>
              <w:jc w:val="left"/>
              <w:rPr/>
            </w:pPr>
            <w:r>
              <w:rPr/>
              <w:t> </w:t>
            </w:r>
          </w:p>
        </w:tc>
        <w:tc>
          <w:tcPr>
            <w:tcW w:w="1105" w:type="dxa"/>
            <w:gridSpan w:val="2"/>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pPr>
            <w:r>
              <w:rPr/>
              <w:t> </w:t>
            </w:r>
          </w:p>
        </w:tc>
        <w:tc>
          <w:tcPr>
            <w:tcW w:w="104" w:type="dxa"/>
            <w:tcBorders/>
            <w:vAlign w:val="center"/>
          </w:tcPr>
          <w:p>
            <w:pPr>
              <w:pStyle w:val="TableContents"/>
              <w:bidi w:val="0"/>
              <w:spacing w:before="0" w:after="0"/>
              <w:ind w:left="0" w:right="0" w:hanging="0"/>
              <w:jc w:val="left"/>
              <w:rPr/>
            </w:pPr>
            <w:r>
              <w:rPr/>
              <w:t> </w:t>
            </w:r>
          </w:p>
        </w:tc>
        <w:tc>
          <w:tcPr>
            <w:tcW w:w="1018"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(8,173</w:t>
            </w:r>
          </w:p>
        </w:tc>
        <w:tc>
          <w:tcPr>
            <w:tcW w:w="144"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(1,536</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0"/>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283"/>
              <w:jc w:val="right"/>
              <w:rPr/>
            </w:pPr>
            <w:r>
              <w:rPr/>
              <w:t>22,602</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283"/>
              <w:jc w:val="right"/>
              <w:rPr/>
            </w:pPr>
            <w:r>
              <w:rPr/>
              <w:t>7,203</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Impairment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283"/>
              <w:jc w:val="right"/>
              <w:rPr/>
            </w:pPr>
            <w:r>
              <w:rPr/>
              <w:t>2,422</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283"/>
              <w:jc w:val="right"/>
              <w:rPr/>
            </w:pPr>
            <w:r>
              <w:rPr/>
              <w:t>742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Note receivable – credit loss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283"/>
              <w:jc w:val="right"/>
              <w:rPr/>
            </w:pPr>
            <w:r>
              <w:rPr/>
              <w:t>1,378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Amortization of right-of-use asset</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283"/>
              <w:jc w:val="right"/>
              <w:rPr/>
            </w:pPr>
            <w:r>
              <w:rPr/>
              <w:t>89</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283"/>
              <w:jc w:val="right"/>
              <w:rPr/>
            </w:pPr>
            <w:r>
              <w:rPr/>
              <w:t>75</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Amortization of deferred financing costs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283"/>
              <w:jc w:val="right"/>
              <w:rPr/>
            </w:pPr>
            <w:r>
              <w:rPr/>
              <w:t>336</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283"/>
              <w:jc w:val="right"/>
              <w:rPr/>
            </w:pPr>
            <w:r>
              <w:rPr/>
              <w:t>904</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283"/>
              <w:jc w:val="right"/>
              <w:rPr/>
            </w:pPr>
            <w:r>
              <w:rPr/>
              <w:t>949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283"/>
              <w:jc w:val="right"/>
              <w:rPr/>
            </w:pPr>
            <w:r>
              <w:rPr/>
              <w:t>26,252</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received (paid) for derivative settlements, net</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283"/>
              <w:jc w:val="right"/>
              <w:rPr/>
            </w:pPr>
            <w:r>
              <w:rPr/>
              <w:t>(7,778</w:t>
            </w:r>
          </w:p>
        </w:tc>
        <w:tc>
          <w:tcPr>
            <w:tcW w:w="144" w:type="dxa"/>
            <w:tcBorders/>
            <w:shd w:fill="FFFFFF" w:val="clear"/>
            <w:vAlign w:val="center"/>
          </w:tcPr>
          <w:p>
            <w:pPr>
              <w:pStyle w:val="TableContents"/>
              <w:bidi w:val="0"/>
              <w:spacing w:before="0" w:after="283"/>
              <w:jc w:val="left"/>
              <w:rPr/>
            </w:pPr>
            <w:r>
              <w:rPr/>
              <w:t>)</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283"/>
              <w:jc w:val="right"/>
              <w:rPr/>
            </w:pPr>
            <w:r>
              <w:rPr/>
              <w:t>121</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283"/>
              <w:jc w:val="right"/>
              <w:rPr/>
            </w:pPr>
            <w:r>
              <w:rPr/>
              <w:t>(414</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on sale of oil and gas properties, net</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283"/>
              <w:jc w:val="right"/>
              <w:rPr/>
            </w:pPr>
            <w:r>
              <w:rPr/>
              <w:t>(52</w:t>
            </w:r>
          </w:p>
        </w:tc>
        <w:tc>
          <w:tcPr>
            <w:tcW w:w="144" w:type="dxa"/>
            <w:tcBorders/>
            <w:shd w:fill="FFFFFF" w:val="clear"/>
            <w:vAlign w:val="center"/>
          </w:tcPr>
          <w:p>
            <w:pPr>
              <w:pStyle w:val="TableContents"/>
              <w:bidi w:val="0"/>
              <w:spacing w:before="0" w:after="283"/>
              <w:jc w:val="left"/>
              <w:rPr/>
            </w:pPr>
            <w:r>
              <w:rPr/>
              <w:t>)</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283"/>
              <w:jc w:val="right"/>
              <w:rPr/>
            </w:pPr>
            <w:r>
              <w:rPr/>
              <w:t>(1,021</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Accounts receivable – oil and gas</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283"/>
              <w:jc w:val="right"/>
              <w:rPr/>
            </w:pPr>
            <w:r>
              <w:rPr/>
              <w:t>1,656</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283"/>
              <w:jc w:val="right"/>
              <w:rPr/>
            </w:pPr>
            <w:r>
              <w:rPr/>
              <w:t>(672</w:t>
            </w:r>
          </w:p>
        </w:tc>
        <w:tc>
          <w:tcPr>
            <w:tcW w:w="170" w:type="dxa"/>
            <w:tcBorders/>
            <w:shd w:fill="FFFFFF" w:val="clear"/>
            <w:vAlign w:val="center"/>
          </w:tcPr>
          <w:p>
            <w:pPr>
              <w:pStyle w:val="TableContents"/>
              <w:bidi w:val="0"/>
              <w:spacing w:before="0" w:after="283"/>
              <w:ind w:left="450" w:right="0" w:hanging="0"/>
              <w:jc w:val="left"/>
              <w:rPr/>
            </w:pPr>
            <w:r>
              <w:rPr/>
              <w:t>)</w:t>
            </w:r>
          </w:p>
        </w:tc>
      </w:tr>
      <w:tr>
        <w:trPr/>
        <w:tc>
          <w:tcPr>
            <w:tcW w:w="7145" w:type="dxa"/>
            <w:tcBorders/>
            <w:shd w:fill="CCEEFF" w:val="clear"/>
            <w:vAlign w:val="center"/>
          </w:tcPr>
          <w:p>
            <w:pPr>
              <w:pStyle w:val="TableContents"/>
              <w:bidi w:val="0"/>
              <w:spacing w:before="0" w:after="0"/>
              <w:ind w:left="675" w:right="0" w:hanging="0"/>
              <w:jc w:val="left"/>
              <w:rPr>
                <w:rFonts w:ascii="times new roman" w:hAnsi="times new roman"/>
                <w:sz w:val="20"/>
              </w:rPr>
            </w:pPr>
            <w:r>
              <w:rPr>
                <w:rFonts w:ascii="times new roman" w:hAnsi="times new roman"/>
                <w:sz w:val="20"/>
              </w:rPr>
              <w:t>Note receivable accrued interest</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283"/>
              <w:jc w:val="right"/>
              <w:rPr/>
            </w:pPr>
            <w:r>
              <w:rPr/>
              <w:t>(41</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Inventory</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283"/>
              <w:jc w:val="right"/>
              <w:rPr/>
            </w:pPr>
            <w:r>
              <w:rPr/>
              <w:t>(80</w:t>
            </w:r>
          </w:p>
        </w:tc>
        <w:tc>
          <w:tcPr>
            <w:tcW w:w="144" w:type="dxa"/>
            <w:tcBorders/>
            <w:shd w:fill="FFFFFF" w:val="clear"/>
            <w:vAlign w:val="center"/>
          </w:tcPr>
          <w:p>
            <w:pPr>
              <w:pStyle w:val="TableContents"/>
              <w:bidi w:val="0"/>
              <w:spacing w:before="0" w:after="283"/>
              <w:jc w:val="left"/>
              <w:rPr/>
            </w:pPr>
            <w:r>
              <w:rPr/>
              <w:t>)</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Prepaid expenses and other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283"/>
              <w:jc w:val="right"/>
              <w:rPr/>
            </w:pPr>
            <w:r>
              <w:rPr/>
              <w:t>653</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283"/>
              <w:jc w:val="right"/>
              <w:rPr/>
            </w:pPr>
            <w:r>
              <w:rPr/>
              <w:t>349</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Accounts payable</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283"/>
              <w:jc w:val="right"/>
              <w:rPr/>
            </w:pPr>
            <w:r>
              <w:rPr/>
              <w:t>(20,522</w:t>
            </w:r>
          </w:p>
        </w:tc>
        <w:tc>
          <w:tcPr>
            <w:tcW w:w="144" w:type="dxa"/>
            <w:tcBorders/>
            <w:shd w:fill="FFFFFF" w:val="clear"/>
            <w:vAlign w:val="center"/>
          </w:tcPr>
          <w:p>
            <w:pPr>
              <w:pStyle w:val="TableContents"/>
              <w:bidi w:val="0"/>
              <w:spacing w:before="0" w:after="283"/>
              <w:jc w:val="left"/>
              <w:rPr/>
            </w:pPr>
            <w:r>
              <w:rPr/>
              <w:t>)</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283"/>
              <w:jc w:val="right"/>
              <w:rPr/>
            </w:pPr>
            <w:r>
              <w:rPr/>
              <w:t>(2,224</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Accrued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283"/>
              <w:jc w:val="right"/>
              <w:rPr/>
            </w:pPr>
            <w:r>
              <w:rPr/>
              <w:t>6,626</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283"/>
              <w:jc w:val="right"/>
              <w:rPr/>
            </w:pPr>
            <w:r>
              <w:rPr/>
              <w:t>(481</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Revenue payable</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283"/>
              <w:jc w:val="right"/>
              <w:rPr/>
            </w:pPr>
            <w:r>
              <w:rPr/>
              <w:t>751</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283"/>
              <w:jc w:val="right"/>
              <w:rPr/>
            </w:pPr>
            <w:r>
              <w:rPr/>
              <w:t>1,201</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Income tax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283"/>
              <w:jc w:val="right"/>
              <w:rPr/>
            </w:pPr>
            <w:r>
              <w:rPr/>
              <w:t>37</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Other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jc w:val="right"/>
              <w:rPr/>
            </w:pPr>
            <w:r>
              <w:rPr/>
              <w:t>29</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operating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jc w:val="right"/>
              <w:rPr/>
            </w:pPr>
            <w:r>
              <w:rPr/>
              <w:t>25,873</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jc w:val="right"/>
              <w:rPr/>
            </w:pPr>
            <w:r>
              <w:rPr/>
              <w:t>5,508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0"/>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drilling and completion costs</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283"/>
              <w:jc w:val="right"/>
              <w:rPr/>
            </w:pPr>
            <w:r>
              <w:rPr/>
              <w:t>(20,008</w:t>
            </w:r>
          </w:p>
        </w:tc>
        <w:tc>
          <w:tcPr>
            <w:tcW w:w="144" w:type="dxa"/>
            <w:tcBorders/>
            <w:shd w:fill="FFFFFF" w:val="clear"/>
            <w:vAlign w:val="center"/>
          </w:tcPr>
          <w:p>
            <w:pPr>
              <w:pStyle w:val="TableContents"/>
              <w:bidi w:val="0"/>
              <w:spacing w:before="0" w:after="283"/>
              <w:jc w:val="left"/>
              <w:rPr/>
            </w:pPr>
            <w:r>
              <w:rPr/>
              <w:t>)</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283"/>
              <w:jc w:val="right"/>
              <w:rPr/>
            </w:pPr>
            <w:r>
              <w:rPr/>
              <w:t>(3,675</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received for sale of oil and gas property</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jc w:val="right"/>
              <w:rPr/>
            </w:pPr>
            <w:r>
              <w:rPr/>
              <w:t>2,000</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jc w:val="right"/>
              <w:rPr/>
            </w:pPr>
            <w:r>
              <w:rPr/>
              <w:t>2,635</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provided by investing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jc w:val="right"/>
              <w:rPr/>
            </w:pPr>
            <w:r>
              <w:rPr/>
              <w:t>(18,008</w:t>
            </w:r>
          </w:p>
        </w:tc>
        <w:tc>
          <w:tcPr>
            <w:tcW w:w="144" w:type="dxa"/>
            <w:tcBorders/>
            <w:shd w:fill="FFFFFF" w:val="clear"/>
            <w:vAlign w:val="center"/>
          </w:tcPr>
          <w:p>
            <w:pPr>
              <w:pStyle w:val="TableContents"/>
              <w:bidi w:val="0"/>
              <w:spacing w:before="0" w:after="283"/>
              <w:jc w:val="left"/>
              <w:rPr/>
            </w:pPr>
            <w:r>
              <w:rPr/>
              <w:t>)</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jc w:val="right"/>
              <w:rPr/>
            </w:pPr>
            <w:r>
              <w:rPr/>
              <w:t>(1,040</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0"/>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credit facility</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283"/>
              <w:jc w:val="right"/>
              <w:rPr/>
            </w:pPr>
            <w:r>
              <w:rPr/>
              <w:t>11,000</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Repayment of credit facility</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283"/>
              <w:jc w:val="right"/>
              <w:rPr/>
            </w:pPr>
            <w:r>
              <w:rPr/>
              <w:t>(13,000</w:t>
            </w:r>
          </w:p>
        </w:tc>
        <w:tc>
          <w:tcPr>
            <w:tcW w:w="144" w:type="dxa"/>
            <w:tcBorders/>
            <w:shd w:fill="FFFFFF" w:val="clear"/>
            <w:vAlign w:val="center"/>
          </w:tcPr>
          <w:p>
            <w:pPr>
              <w:pStyle w:val="TableContents"/>
              <w:bidi w:val="0"/>
              <w:spacing w:before="0" w:after="283"/>
              <w:jc w:val="left"/>
              <w:rPr/>
            </w:pPr>
            <w:r>
              <w:rPr/>
              <w:t>)</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Reverse stock split costs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283"/>
              <w:jc w:val="right"/>
              <w:rPr/>
            </w:pPr>
            <w:r>
              <w:rPr/>
              <w:t>(44</w:t>
            </w:r>
          </w:p>
        </w:tc>
        <w:tc>
          <w:tcPr>
            <w:tcW w:w="144"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issuance of shares, net of offering costs</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jc w:val="right"/>
              <w:rPr/>
            </w:pPr>
            <w:r>
              <w:rPr/>
              <w:t>139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provided by financing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jc w:val="right"/>
              <w:rPr/>
            </w:pPr>
            <w:r>
              <w:rPr/>
              <w:t>(2,044</w:t>
            </w:r>
          </w:p>
        </w:tc>
        <w:tc>
          <w:tcPr>
            <w:tcW w:w="144"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jc w:val="right"/>
              <w:rPr/>
            </w:pPr>
            <w:r>
              <w:rPr/>
              <w:t>139</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0"/>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increase in cash and restricted cash</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283"/>
              <w:jc w:val="right"/>
              <w:rPr/>
            </w:pPr>
            <w:r>
              <w:rPr/>
              <w:t>5,821</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283"/>
              <w:jc w:val="right"/>
              <w:rPr/>
            </w:pPr>
            <w:r>
              <w:rPr/>
              <w:t>4,607</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restricted cash at beginning of period</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jc w:val="right"/>
              <w:rPr/>
            </w:pPr>
            <w:r>
              <w:rPr/>
              <w:t>6,321</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jc w:val="right"/>
              <w:rPr/>
            </w:pPr>
            <w:r>
              <w:rPr/>
              <w:t>6,607</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restricted cash at end of period</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jc w:val="right"/>
              <w:rPr/>
            </w:pPr>
            <w:r>
              <w:rPr/>
              <w:t>12,142</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jc w:val="right"/>
              <w:rPr/>
            </w:pPr>
            <w:r>
              <w:rPr/>
              <w:t>11,214</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0"/>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Supplemental Disclosure of Cash Flow Information</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0"/>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2,891</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283"/>
              <w:jc w:val="left"/>
              <w:rPr/>
            </w:pPr>
            <w:r>
              <w:rPr/>
              <w:t>$</w:t>
            </w:r>
          </w:p>
        </w:tc>
        <w:tc>
          <w:tcPr>
            <w:tcW w:w="822"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Noncash investing and financing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0"/>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82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accrued oil and gas development costs</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(10,825</w:t>
            </w:r>
          </w:p>
        </w:tc>
        <w:tc>
          <w:tcPr>
            <w:tcW w:w="144"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(4,780</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estimates of asset retirement costs, net</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4,660</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283"/>
              <w:jc w:val="left"/>
              <w:rPr/>
            </w:pPr>
            <w:r>
              <w:rPr/>
              <w:t>$</w:t>
            </w:r>
          </w:p>
        </w:tc>
        <w:tc>
          <w:tcPr>
            <w:tcW w:w="822" w:type="dxa"/>
            <w:tcBorders/>
            <w:shd w:fill="FFFFFF" w:val="clear"/>
            <w:vAlign w:val="center"/>
          </w:tcPr>
          <w:p>
            <w:pPr>
              <w:pStyle w:val="TableContents"/>
              <w:bidi w:val="0"/>
              <w:spacing w:before="0" w:after="283"/>
              <w:jc w:val="right"/>
              <w:rPr/>
            </w:pPr>
            <w:r>
              <w:rPr/>
              <w:t>119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 of preferred stock into common stock</w:t>
            </w:r>
          </w:p>
        </w:tc>
        <w:tc>
          <w:tcPr>
            <w:tcW w:w="90"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283"/>
              <w:jc w:val="left"/>
              <w:rPr/>
            </w:pPr>
            <w:r>
              <w:rPr/>
              <w:t>$</w:t>
            </w:r>
          </w:p>
        </w:tc>
        <w:tc>
          <w:tcPr>
            <w:tcW w:w="909" w:type="dxa"/>
            <w:tcBorders/>
            <w:shd w:fill="CCEEFF" w:val="clear"/>
            <w:vAlign w:val="center"/>
          </w:tcPr>
          <w:p>
            <w:pPr>
              <w:pStyle w:val="TableContents"/>
              <w:bidi w:val="0"/>
              <w:spacing w:before="0" w:after="283"/>
              <w:jc w:val="right"/>
              <w:rPr/>
            </w:pPr>
            <w:r>
              <w:rPr/>
              <w:t>17,014</w:t>
            </w:r>
          </w:p>
        </w:tc>
        <w:tc>
          <w:tcPr>
            <w:tcW w:w="14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283"/>
              <w:jc w:val="left"/>
              <w:rPr/>
            </w:pPr>
            <w:r>
              <w:rPr/>
              <w:t>$</w:t>
            </w:r>
          </w:p>
        </w:tc>
        <w:tc>
          <w:tcPr>
            <w:tcW w:w="82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restricted common stock</w:t>
            </w:r>
          </w:p>
        </w:tc>
        <w:tc>
          <w:tcPr>
            <w:tcW w:w="90"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283"/>
              <w:jc w:val="left"/>
              <w:rPr/>
            </w:pPr>
            <w:r>
              <w:rPr/>
              <w:t>$</w:t>
            </w:r>
          </w:p>
        </w:tc>
        <w:tc>
          <w:tcPr>
            <w:tcW w:w="909" w:type="dxa"/>
            <w:tcBorders/>
            <w:shd w:fill="FFFFFF" w:val="clear"/>
            <w:vAlign w:val="center"/>
          </w:tcPr>
          <w:p>
            <w:pPr>
              <w:pStyle w:val="TableContents"/>
              <w:bidi w:val="0"/>
              <w:spacing w:before="0" w:after="283"/>
              <w:jc w:val="right"/>
              <w:rPr/>
            </w:pPr>
            <w:r>
              <w:rPr/>
              <w:t>-</w:t>
            </w:r>
          </w:p>
        </w:tc>
        <w:tc>
          <w:tcPr>
            <w:tcW w:w="14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283"/>
              <w:jc w:val="left"/>
              <w:rPr/>
            </w:pPr>
            <w:r>
              <w:rPr/>
              <w:t>$</w:t>
            </w:r>
          </w:p>
        </w:tc>
        <w:tc>
          <w:tcPr>
            <w:tcW w:w="822" w:type="dxa"/>
            <w:tcBorders/>
            <w:shd w:fill="FFFFFF" w:val="clear"/>
            <w:vAlign w:val="center"/>
          </w:tcPr>
          <w:p>
            <w:pPr>
              <w:pStyle w:val="TableContents"/>
              <w:bidi w:val="0"/>
              <w:spacing w:before="0" w:after="283"/>
              <w:jc w:val="right"/>
              <w:rPr/>
            </w:pPr>
            <w:r>
              <w:rPr/>
              <w:t>3</w:t>
            </w:r>
          </w:p>
        </w:tc>
        <w:tc>
          <w:tcPr>
            <w:tcW w:w="17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8</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655" w:type="dxa"/>
        <w:jc w:val="left"/>
        <w:tblInd w:w="0" w:type="dxa"/>
        <w:tblLayout w:type="fixed"/>
        <w:tblCellMar>
          <w:top w:w="0" w:type="dxa"/>
          <w:left w:w="0" w:type="dxa"/>
          <w:bottom w:w="0" w:type="dxa"/>
          <w:right w:w="0" w:type="dxa"/>
        </w:tblCellMar>
      </w:tblPr>
      <w:tblGrid>
        <w:gridCol w:w="2655"/>
      </w:tblGrid>
      <w:tr>
        <w:trPr/>
        <w:tc>
          <w:tcPr>
            <w:tcW w:w="2655" w:type="dxa"/>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628775" cy="333375"/>
                          </a:xfrm>
                          <a:prstGeom prst="rect">
                            <a:avLst/>
                          </a:prstGeom>
                        </pic:spPr>
                      </pic:pic>
                    </a:graphicData>
                  </a:graphic>
                </wp:inline>
              </w:drawing>
            </w:r>
          </w:p>
        </w:tc>
      </w:tr>
      <w:tr>
        <w:trPr/>
        <w:tc>
          <w:tcPr>
            <w:tcW w:w="2655" w:type="dxa"/>
            <w:tcBorders>
              <w:bottom w:val="single" w:sz="2" w:space="0" w:color="F07D2D"/>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RECONCILIATION OF NET (LOSS) INCOME TO ADJUSTED EBITDA</w:t>
      </w:r>
    </w:p>
    <w:p>
      <w:pPr>
        <w:pStyle w:val="TextBody"/>
        <w:bidi w:val="0"/>
        <w:spacing w:before="0" w:after="0"/>
        <w:ind w:left="0" w:right="0" w:hanging="0"/>
        <w:jc w:val="center"/>
        <w:rPr/>
      </w:pPr>
      <w:r>
        <w:rPr>
          <w:rStyle w:val="Emphasis"/>
          <w:rFonts w:ascii="times new roman" w:hAnsi="times new roman"/>
          <w:sz w:val="20"/>
        </w:rPr>
        <w:t>(amounts in thousands)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4094"/>
        <w:gridCol w:w="90"/>
        <w:gridCol w:w="237"/>
        <w:gridCol w:w="1167"/>
        <w:gridCol w:w="174"/>
        <w:gridCol w:w="125"/>
        <w:gridCol w:w="237"/>
        <w:gridCol w:w="999"/>
        <w:gridCol w:w="125"/>
        <w:gridCol w:w="90"/>
        <w:gridCol w:w="229"/>
        <w:gridCol w:w="977"/>
        <w:gridCol w:w="168"/>
        <w:gridCol w:w="121"/>
        <w:gridCol w:w="229"/>
        <w:gridCol w:w="966"/>
        <w:gridCol w:w="177"/>
      </w:tblGrid>
      <w:tr>
        <w:trPr/>
        <w:tc>
          <w:tcPr>
            <w:tcW w:w="4094"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939"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Pr>
              <w:t xml:space="preserve">Three Months Ended June 30,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Pr>
              <w:t xml:space="preserve">Six Months Ended June 30, </w:t>
            </w:r>
          </w:p>
        </w:tc>
        <w:tc>
          <w:tcPr>
            <w:tcW w:w="177" w:type="dxa"/>
            <w:tcBorders/>
            <w:vAlign w:val="center"/>
          </w:tcPr>
          <w:p>
            <w:pPr>
              <w:pStyle w:val="TableContents"/>
              <w:bidi w:val="0"/>
              <w:spacing w:before="0" w:after="0"/>
              <w:ind w:left="0" w:right="0" w:hanging="0"/>
              <w:jc w:val="left"/>
              <w:rPr/>
            </w:pPr>
            <w:r>
              <w:rPr/>
              <w:t> </w:t>
            </w:r>
          </w:p>
        </w:tc>
      </w:tr>
      <w:tr>
        <w:trPr/>
        <w:tc>
          <w:tcPr>
            <w:tcW w:w="4094"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0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Pr>
              <w:t>2026</w:t>
            </w:r>
          </w:p>
        </w:tc>
        <w:tc>
          <w:tcPr>
            <w:tcW w:w="174"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123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Pr>
              <w:t>2025</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0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Pr>
              <w:t>2026</w:t>
            </w:r>
          </w:p>
        </w:tc>
        <w:tc>
          <w:tcPr>
            <w:tcW w:w="168" w:type="dxa"/>
            <w:tcBorders/>
            <w:vAlign w:val="center"/>
          </w:tcPr>
          <w:p>
            <w:pPr>
              <w:pStyle w:val="TableContents"/>
              <w:bidi w:val="0"/>
              <w:spacing w:before="0" w:after="0"/>
              <w:ind w:left="0" w:right="0" w:hanging="0"/>
              <w:jc w:val="left"/>
              <w:rPr/>
            </w:pPr>
            <w:r>
              <w:rPr/>
              <w:t> </w:t>
            </w:r>
          </w:p>
        </w:tc>
        <w:tc>
          <w:tcPr>
            <w:tcW w:w="121" w:type="dxa"/>
            <w:tcBorders/>
            <w:vAlign w:val="center"/>
          </w:tcPr>
          <w:p>
            <w:pPr>
              <w:pStyle w:val="TableContents"/>
              <w:bidi w:val="0"/>
              <w:spacing w:before="0" w:after="0"/>
              <w:ind w:left="0" w:right="0" w:hanging="0"/>
              <w:jc w:val="left"/>
              <w:rPr/>
            </w:pPr>
            <w:r>
              <w:rPr/>
              <w:t> </w:t>
            </w:r>
          </w:p>
        </w:tc>
        <w:tc>
          <w:tcPr>
            <w:tcW w:w="11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Pr>
              <w:t>2025</w:t>
            </w:r>
          </w:p>
        </w:tc>
        <w:tc>
          <w:tcPr>
            <w:tcW w:w="177" w:type="dxa"/>
            <w:tcBorders/>
            <w:vAlign w:val="center"/>
          </w:tcPr>
          <w:p>
            <w:pPr>
              <w:pStyle w:val="TableContents"/>
              <w:bidi w:val="0"/>
              <w:spacing w:before="0" w:after="0"/>
              <w:ind w:left="0" w:right="0" w:hanging="0"/>
              <w:jc w:val="left"/>
              <w:rPr/>
            </w:pPr>
            <w:r>
              <w:rPr/>
              <w:t> </w:t>
            </w:r>
          </w:p>
        </w:tc>
      </w:tr>
      <w:tr>
        <w:trPr/>
        <w:tc>
          <w:tcPr>
            <w:tcW w:w="4094" w:type="dxa"/>
            <w:tcBorders/>
            <w:shd w:fill="CCEEFF" w:val="clear"/>
            <w:vAlign w:val="center"/>
          </w:tcPr>
          <w:p>
            <w:pPr>
              <w:pStyle w:val="TableContents"/>
              <w:bidi w:val="0"/>
              <w:spacing w:before="0" w:after="0"/>
              <w:ind w:left="0" w:right="0" w:hanging="0"/>
              <w:jc w:val="left"/>
              <w:rPr/>
            </w:pPr>
            <w:r>
              <w:rPr/>
              <w:t>Net income (loss)</w:t>
            </w:r>
          </w:p>
        </w:tc>
        <w:tc>
          <w:tcPr>
            <w:tcW w:w="90"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283"/>
              <w:jc w:val="left"/>
              <w:rPr/>
            </w:pPr>
            <w:r>
              <w:rPr/>
              <w:t>$</w:t>
            </w:r>
          </w:p>
        </w:tc>
        <w:tc>
          <w:tcPr>
            <w:tcW w:w="1167" w:type="dxa"/>
            <w:tcBorders/>
            <w:shd w:fill="CCEEFF" w:val="clear"/>
            <w:vAlign w:val="center"/>
          </w:tcPr>
          <w:p>
            <w:pPr>
              <w:pStyle w:val="TableContents"/>
              <w:bidi w:val="0"/>
              <w:spacing w:before="0" w:after="283"/>
              <w:jc w:val="right"/>
              <w:rPr/>
            </w:pPr>
            <w:r>
              <w:rPr/>
              <w:t>17,454</w:t>
            </w:r>
          </w:p>
        </w:tc>
        <w:tc>
          <w:tcPr>
            <w:tcW w:w="17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 xml:space="preserve">(1,676 </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283"/>
              <w:jc w:val="left"/>
              <w:rPr/>
            </w:pPr>
            <w:r>
              <w:rPr/>
              <w:t>$</w:t>
            </w:r>
          </w:p>
        </w:tc>
        <w:tc>
          <w:tcPr>
            <w:tcW w:w="977" w:type="dxa"/>
            <w:tcBorders/>
            <w:shd w:fill="CCEEFF" w:val="clear"/>
            <w:vAlign w:val="center"/>
          </w:tcPr>
          <w:p>
            <w:pPr>
              <w:pStyle w:val="TableContents"/>
              <w:bidi w:val="0"/>
              <w:spacing w:before="0" w:after="283"/>
              <w:jc w:val="right"/>
              <w:rPr/>
            </w:pPr>
            <w:r>
              <w:rPr/>
              <w:t xml:space="preserve">(8,173 </w:t>
            </w:r>
          </w:p>
        </w:tc>
        <w:tc>
          <w:tcPr>
            <w:tcW w:w="168"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283"/>
              <w:jc w:val="left"/>
              <w:rPr/>
            </w:pPr>
            <w:r>
              <w:rPr/>
              <w:t>$</w:t>
            </w:r>
          </w:p>
        </w:tc>
        <w:tc>
          <w:tcPr>
            <w:tcW w:w="966" w:type="dxa"/>
            <w:tcBorders/>
            <w:shd w:fill="CCEEFF" w:val="clear"/>
            <w:vAlign w:val="center"/>
          </w:tcPr>
          <w:p>
            <w:pPr>
              <w:pStyle w:val="TableContents"/>
              <w:bidi w:val="0"/>
              <w:spacing w:before="0" w:after="283"/>
              <w:jc w:val="right"/>
              <w:rPr/>
            </w:pPr>
            <w:r>
              <w:rPr/>
              <w:t xml:space="preserve">(1,536 </w:t>
            </w:r>
          </w:p>
        </w:tc>
        <w:tc>
          <w:tcPr>
            <w:tcW w:w="177" w:type="dxa"/>
            <w:tcBorders/>
            <w:shd w:fill="CCEEFF" w:val="clear"/>
            <w:vAlign w:val="center"/>
          </w:tcPr>
          <w:p>
            <w:pPr>
              <w:pStyle w:val="TableContents"/>
              <w:bidi w:val="0"/>
              <w:spacing w:before="0" w:after="283"/>
              <w:jc w:val="left"/>
              <w:rPr/>
            </w:pPr>
            <w:r>
              <w:rPr/>
              <w:t>)</w:t>
            </w:r>
          </w:p>
        </w:tc>
      </w:tr>
      <w:tr>
        <w:trPr/>
        <w:tc>
          <w:tcPr>
            <w:tcW w:w="4094" w:type="dxa"/>
            <w:tcBorders/>
            <w:shd w:fill="FFFFFF" w:val="clear"/>
            <w:vAlign w:val="center"/>
          </w:tcPr>
          <w:p>
            <w:pPr>
              <w:pStyle w:val="TableContents"/>
              <w:bidi w:val="0"/>
              <w:spacing w:before="0" w:after="0"/>
              <w:ind w:left="0" w:right="0" w:hanging="0"/>
              <w:jc w:val="left"/>
              <w:rPr/>
            </w:pPr>
            <w:r>
              <w:rPr/>
              <w:t>Add (deduct)</w:t>
            </w:r>
          </w:p>
        </w:tc>
        <w:tc>
          <w:tcPr>
            <w:tcW w:w="9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1167"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999"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left"/>
              <w:rPr/>
            </w:pPr>
            <w:r>
              <w:rPr/>
              <w:t> </w:t>
            </w:r>
          </w:p>
        </w:tc>
        <w:tc>
          <w:tcPr>
            <w:tcW w:w="977"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121" w:type="dxa"/>
            <w:tcBorders/>
            <w:shd w:fill="FFFFFF" w:val="clear"/>
            <w:vAlign w:val="center"/>
          </w:tcPr>
          <w:p>
            <w:pPr>
              <w:pStyle w:val="TableContents"/>
              <w:bidi w:val="0"/>
              <w:spacing w:before="0" w:after="0"/>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left"/>
              <w:rPr/>
            </w:pPr>
            <w:r>
              <w:rPr/>
              <w:t> </w:t>
            </w:r>
          </w:p>
        </w:tc>
        <w:tc>
          <w:tcPr>
            <w:tcW w:w="966"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4094" w:type="dxa"/>
            <w:tcBorders/>
            <w:shd w:fill="CCEEFF" w:val="clear"/>
            <w:vAlign w:val="center"/>
          </w:tcPr>
          <w:p>
            <w:pPr>
              <w:pStyle w:val="TableContents"/>
              <w:bidi w:val="0"/>
              <w:spacing w:before="0" w:after="0"/>
              <w:ind w:left="0" w:right="0" w:hanging="0"/>
              <w:jc w:val="left"/>
              <w:rPr/>
            </w:pPr>
            <w:r>
              <w:rPr/>
              <w:t>Interest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283"/>
              <w:jc w:val="right"/>
              <w:rPr/>
            </w:pPr>
            <w:r>
              <w:rPr/>
              <w:t>1,973</w:t>
            </w:r>
          </w:p>
        </w:tc>
        <w:tc>
          <w:tcPr>
            <w:tcW w:w="17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99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283"/>
              <w:jc w:val="right"/>
              <w:rPr/>
            </w:pPr>
            <w:r>
              <w:rPr/>
              <w:t>3,968</w:t>
            </w:r>
          </w:p>
        </w:tc>
        <w:tc>
          <w:tcPr>
            <w:tcW w:w="168"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283"/>
              <w:jc w:val="right"/>
              <w:rPr/>
            </w:pPr>
            <w:r>
              <w:rPr/>
              <w:t>-</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4094" w:type="dxa"/>
            <w:tcBorders/>
            <w:shd w:fill="FFFFFF" w:val="clear"/>
            <w:vAlign w:val="center"/>
          </w:tcPr>
          <w:p>
            <w:pPr>
              <w:pStyle w:val="TableContents"/>
              <w:bidi w:val="0"/>
              <w:spacing w:before="0" w:after="0"/>
              <w:ind w:left="0" w:right="0" w:hanging="0"/>
              <w:jc w:val="left"/>
              <w:rPr/>
            </w:pPr>
            <w:r>
              <w:rPr/>
              <w:t>Income tax benefit (expense)</w:t>
            </w:r>
          </w:p>
        </w:tc>
        <w:tc>
          <w:tcPr>
            <w:tcW w:w="9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1167" w:type="dxa"/>
            <w:tcBorders/>
            <w:shd w:fill="FFFFFF" w:val="clear"/>
            <w:vAlign w:val="center"/>
          </w:tcPr>
          <w:p>
            <w:pPr>
              <w:pStyle w:val="TableContents"/>
              <w:bidi w:val="0"/>
              <w:spacing w:before="0" w:after="283"/>
              <w:jc w:val="right"/>
              <w:rPr/>
            </w:pPr>
            <w:r>
              <w:rPr/>
              <w:t>1,027</w:t>
            </w:r>
          </w:p>
        </w:tc>
        <w:tc>
          <w:tcPr>
            <w:tcW w:w="17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999" w:type="dxa"/>
            <w:tcBorders/>
            <w:shd w:fill="FFFFFF" w:val="clear"/>
            <w:vAlign w:val="center"/>
          </w:tcPr>
          <w:p>
            <w:pPr>
              <w:pStyle w:val="TableContents"/>
              <w:bidi w:val="0"/>
              <w:spacing w:before="0" w:after="283"/>
              <w:jc w:val="right"/>
              <w:rPr/>
            </w:pPr>
            <w:r>
              <w:rPr/>
              <w:t xml:space="preserve">(490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left"/>
              <w:rPr/>
            </w:pPr>
            <w:r>
              <w:rPr/>
              <w:t> </w:t>
            </w:r>
          </w:p>
        </w:tc>
        <w:tc>
          <w:tcPr>
            <w:tcW w:w="977" w:type="dxa"/>
            <w:tcBorders/>
            <w:shd w:fill="FFFFFF" w:val="clear"/>
            <w:vAlign w:val="center"/>
          </w:tcPr>
          <w:p>
            <w:pPr>
              <w:pStyle w:val="TableContents"/>
              <w:bidi w:val="0"/>
              <w:spacing w:before="0" w:after="283"/>
              <w:jc w:val="right"/>
              <w:rPr/>
            </w:pPr>
            <w:r>
              <w:rPr/>
              <w:t>159</w:t>
            </w:r>
          </w:p>
        </w:tc>
        <w:tc>
          <w:tcPr>
            <w:tcW w:w="168" w:type="dxa"/>
            <w:tcBorders/>
            <w:shd w:fill="FFFFFF" w:val="clear"/>
            <w:vAlign w:val="center"/>
          </w:tcPr>
          <w:p>
            <w:pPr>
              <w:pStyle w:val="TableContents"/>
              <w:bidi w:val="0"/>
              <w:spacing w:before="0" w:after="0"/>
              <w:ind w:left="0" w:right="0" w:hanging="0"/>
              <w:jc w:val="left"/>
              <w:rPr/>
            </w:pPr>
            <w:r>
              <w:rPr/>
              <w:t> </w:t>
            </w:r>
          </w:p>
        </w:tc>
        <w:tc>
          <w:tcPr>
            <w:tcW w:w="121" w:type="dxa"/>
            <w:tcBorders/>
            <w:shd w:fill="FFFFFF" w:val="clear"/>
            <w:vAlign w:val="center"/>
          </w:tcPr>
          <w:p>
            <w:pPr>
              <w:pStyle w:val="TableContents"/>
              <w:bidi w:val="0"/>
              <w:spacing w:before="0" w:after="0"/>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left"/>
              <w:rPr/>
            </w:pPr>
            <w:r>
              <w:rPr/>
              <w:t> </w:t>
            </w:r>
          </w:p>
        </w:tc>
        <w:tc>
          <w:tcPr>
            <w:tcW w:w="966" w:type="dxa"/>
            <w:tcBorders/>
            <w:shd w:fill="FFFFFF" w:val="clear"/>
            <w:vAlign w:val="center"/>
          </w:tcPr>
          <w:p>
            <w:pPr>
              <w:pStyle w:val="TableContents"/>
              <w:bidi w:val="0"/>
              <w:spacing w:before="0" w:after="283"/>
              <w:jc w:val="right"/>
              <w:rPr/>
            </w:pPr>
            <w:r>
              <w:rPr/>
              <w:t xml:space="preserve">(414 </w:t>
            </w:r>
          </w:p>
        </w:tc>
        <w:tc>
          <w:tcPr>
            <w:tcW w:w="177" w:type="dxa"/>
            <w:tcBorders/>
            <w:shd w:fill="FFFFFF" w:val="clear"/>
            <w:vAlign w:val="center"/>
          </w:tcPr>
          <w:p>
            <w:pPr>
              <w:pStyle w:val="TableContents"/>
              <w:bidi w:val="0"/>
              <w:spacing w:before="0" w:after="283"/>
              <w:jc w:val="left"/>
              <w:rPr/>
            </w:pPr>
            <w:r>
              <w:rPr/>
              <w:t>)</w:t>
            </w:r>
          </w:p>
        </w:tc>
      </w:tr>
      <w:tr>
        <w:trPr/>
        <w:tc>
          <w:tcPr>
            <w:tcW w:w="4094" w:type="dxa"/>
            <w:tcBorders/>
            <w:shd w:fill="CCEEFF" w:val="clear"/>
            <w:vAlign w:val="center"/>
          </w:tcPr>
          <w:p>
            <w:pPr>
              <w:pStyle w:val="TableContents"/>
              <w:bidi w:val="0"/>
              <w:spacing w:before="0" w:after="0"/>
              <w:ind w:left="0" w:right="0" w:hanging="0"/>
              <w:jc w:val="left"/>
              <w:rPr/>
            </w:pPr>
            <w:r>
              <w:rPr/>
              <w:t>Depreciation, depletion, amortization and accretion</w:t>
            </w:r>
          </w:p>
        </w:tc>
        <w:tc>
          <w:tcPr>
            <w:tcW w:w="90" w:type="dxa"/>
            <w:tcBorders/>
            <w:shd w:fill="CCEEFF" w:val="clear"/>
            <w:vAlign w:val="center"/>
          </w:tcPr>
          <w:p>
            <w:pPr>
              <w:pStyle w:val="TableContents"/>
              <w:bidi w:val="0"/>
              <w:spacing w:before="0" w:after="0"/>
              <w:ind w:left="0" w:right="0" w:hanging="0"/>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jc w:val="right"/>
              <w:rPr/>
            </w:pPr>
            <w:r>
              <w:rPr/>
              <w:t>10,152</w:t>
            </w:r>
          </w:p>
        </w:tc>
        <w:tc>
          <w:tcPr>
            <w:tcW w:w="17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283"/>
              <w:jc w:val="right"/>
              <w:rPr/>
            </w:pPr>
            <w:r>
              <w:rPr/>
              <w:t>3,857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jc w:val="right"/>
              <w:rPr/>
            </w:pPr>
            <w:r>
              <w:rPr/>
              <w:t>22,602</w:t>
            </w:r>
          </w:p>
        </w:tc>
        <w:tc>
          <w:tcPr>
            <w:tcW w:w="168"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jc w:val="right"/>
              <w:rPr/>
            </w:pPr>
            <w:r>
              <w:rPr/>
              <w:t>7,203</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4094" w:type="dxa"/>
            <w:tcBorders/>
            <w:shd w:fill="FFFFFF" w:val="clear"/>
            <w:vAlign w:val="center"/>
          </w:tcPr>
          <w:p>
            <w:pPr>
              <w:pStyle w:val="TableContents"/>
              <w:bidi w:val="0"/>
              <w:spacing w:before="0" w:after="0"/>
              <w:ind w:left="0" w:right="0" w:hanging="0"/>
              <w:jc w:val="left"/>
              <w:rPr/>
            </w:pPr>
            <w:r>
              <w:rPr>
                <w:rStyle w:val="StrongEmphasis"/>
              </w:rPr>
              <w:t>EBITDA</w:t>
            </w:r>
          </w:p>
        </w:tc>
        <w:tc>
          <w:tcPr>
            <w:tcW w:w="9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1167" w:type="dxa"/>
            <w:tcBorders/>
            <w:shd w:fill="FFFFFF" w:val="clear"/>
            <w:vAlign w:val="center"/>
          </w:tcPr>
          <w:p>
            <w:pPr>
              <w:pStyle w:val="TableContents"/>
              <w:bidi w:val="0"/>
              <w:spacing w:before="0" w:after="283"/>
              <w:jc w:val="right"/>
              <w:rPr/>
            </w:pPr>
            <w:r>
              <w:rPr>
                <w:rStyle w:val="StrongEmphasis"/>
              </w:rPr>
              <w:t>30,606</w:t>
            </w:r>
          </w:p>
        </w:tc>
        <w:tc>
          <w:tcPr>
            <w:tcW w:w="17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999" w:type="dxa"/>
            <w:tcBorders/>
            <w:shd w:fill="FFFFFF" w:val="clear"/>
            <w:vAlign w:val="center"/>
          </w:tcPr>
          <w:p>
            <w:pPr>
              <w:pStyle w:val="TableContents"/>
              <w:bidi w:val="0"/>
              <w:spacing w:before="0" w:after="283"/>
              <w:jc w:val="right"/>
              <w:rPr/>
            </w:pPr>
            <w:r>
              <w:rPr>
                <w:rStyle w:val="StrongEmphasis"/>
              </w:rPr>
              <w:t>1,691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left"/>
              <w:rPr/>
            </w:pPr>
            <w:r>
              <w:rPr/>
              <w:t> </w:t>
            </w:r>
          </w:p>
        </w:tc>
        <w:tc>
          <w:tcPr>
            <w:tcW w:w="977" w:type="dxa"/>
            <w:tcBorders/>
            <w:shd w:fill="FFFFFF" w:val="clear"/>
            <w:vAlign w:val="center"/>
          </w:tcPr>
          <w:p>
            <w:pPr>
              <w:pStyle w:val="TableContents"/>
              <w:bidi w:val="0"/>
              <w:spacing w:before="0" w:after="283"/>
              <w:jc w:val="right"/>
              <w:rPr/>
            </w:pPr>
            <w:r>
              <w:rPr>
                <w:rStyle w:val="StrongEmphasis"/>
              </w:rPr>
              <w:t>18,556</w:t>
            </w:r>
          </w:p>
        </w:tc>
        <w:tc>
          <w:tcPr>
            <w:tcW w:w="168" w:type="dxa"/>
            <w:tcBorders/>
            <w:shd w:fill="FFFFFF" w:val="clear"/>
            <w:vAlign w:val="center"/>
          </w:tcPr>
          <w:p>
            <w:pPr>
              <w:pStyle w:val="TableContents"/>
              <w:bidi w:val="0"/>
              <w:spacing w:before="0" w:after="0"/>
              <w:ind w:left="0" w:right="0" w:hanging="0"/>
              <w:jc w:val="left"/>
              <w:rPr/>
            </w:pPr>
            <w:r>
              <w:rPr/>
              <w:t> </w:t>
            </w:r>
          </w:p>
        </w:tc>
        <w:tc>
          <w:tcPr>
            <w:tcW w:w="121" w:type="dxa"/>
            <w:tcBorders/>
            <w:shd w:fill="FFFFFF" w:val="clear"/>
            <w:vAlign w:val="center"/>
          </w:tcPr>
          <w:p>
            <w:pPr>
              <w:pStyle w:val="TableContents"/>
              <w:bidi w:val="0"/>
              <w:spacing w:before="0" w:after="0"/>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left"/>
              <w:rPr/>
            </w:pPr>
            <w:r>
              <w:rPr/>
              <w:t> </w:t>
            </w:r>
          </w:p>
        </w:tc>
        <w:tc>
          <w:tcPr>
            <w:tcW w:w="966" w:type="dxa"/>
            <w:tcBorders/>
            <w:shd w:fill="FFFFFF" w:val="clear"/>
            <w:vAlign w:val="center"/>
          </w:tcPr>
          <w:p>
            <w:pPr>
              <w:pStyle w:val="TableContents"/>
              <w:bidi w:val="0"/>
              <w:spacing w:before="0" w:after="283"/>
              <w:jc w:val="right"/>
              <w:rPr/>
            </w:pPr>
            <w:r>
              <w:rPr>
                <w:rStyle w:val="StrongEmphasis"/>
              </w:rPr>
              <w:t>5,253</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4094" w:type="dxa"/>
            <w:tcBorders/>
            <w:shd w:fill="CCEEFF" w:val="clear"/>
            <w:vAlign w:val="center"/>
          </w:tcPr>
          <w:p>
            <w:pPr>
              <w:pStyle w:val="TableContents"/>
              <w:bidi w:val="0"/>
              <w:spacing w:before="0" w:after="0"/>
              <w:ind w:left="0" w:right="0" w:hanging="0"/>
              <w:jc w:val="left"/>
              <w:rPr/>
            </w:pPr>
            <w:r>
              <w:rPr/>
              <w:t>Add (deduct)</w:t>
            </w:r>
          </w:p>
        </w:tc>
        <w:tc>
          <w:tcPr>
            <w:tcW w:w="90"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999"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4094" w:type="dxa"/>
            <w:tcBorders/>
            <w:shd w:fill="FFFFFF" w:val="clear"/>
            <w:vAlign w:val="center"/>
          </w:tcPr>
          <w:p>
            <w:pPr>
              <w:pStyle w:val="TableContents"/>
              <w:bidi w:val="0"/>
              <w:spacing w:before="0" w:after="0"/>
              <w:ind w:left="0" w:right="0" w:hanging="0"/>
              <w:jc w:val="left"/>
              <w:rPr/>
            </w:pPr>
            <w:r>
              <w:rPr/>
              <w:t>Share-based compensation (non-cash)</w:t>
            </w:r>
          </w:p>
        </w:tc>
        <w:tc>
          <w:tcPr>
            <w:tcW w:w="9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1167" w:type="dxa"/>
            <w:tcBorders/>
            <w:shd w:fill="FFFFFF" w:val="clear"/>
            <w:vAlign w:val="center"/>
          </w:tcPr>
          <w:p>
            <w:pPr>
              <w:pStyle w:val="TableContents"/>
              <w:bidi w:val="0"/>
              <w:spacing w:before="0" w:after="283"/>
              <w:jc w:val="right"/>
              <w:rPr/>
            </w:pPr>
            <w:r>
              <w:rPr/>
              <w:t>412</w:t>
            </w:r>
          </w:p>
        </w:tc>
        <w:tc>
          <w:tcPr>
            <w:tcW w:w="17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999" w:type="dxa"/>
            <w:tcBorders/>
            <w:shd w:fill="FFFFFF" w:val="clear"/>
            <w:vAlign w:val="center"/>
          </w:tcPr>
          <w:p>
            <w:pPr>
              <w:pStyle w:val="TableContents"/>
              <w:bidi w:val="0"/>
              <w:spacing w:before="0" w:after="283"/>
              <w:jc w:val="right"/>
              <w:rPr/>
            </w:pPr>
            <w:r>
              <w:rPr/>
              <w:t>474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left"/>
              <w:rPr/>
            </w:pPr>
            <w:r>
              <w:rPr/>
              <w:t> </w:t>
            </w:r>
          </w:p>
        </w:tc>
        <w:tc>
          <w:tcPr>
            <w:tcW w:w="977" w:type="dxa"/>
            <w:tcBorders/>
            <w:shd w:fill="FFFFFF" w:val="clear"/>
            <w:vAlign w:val="center"/>
          </w:tcPr>
          <w:p>
            <w:pPr>
              <w:pStyle w:val="TableContents"/>
              <w:bidi w:val="0"/>
              <w:spacing w:before="0" w:after="283"/>
              <w:jc w:val="right"/>
              <w:rPr/>
            </w:pPr>
            <w:r>
              <w:rPr/>
              <w:t>904</w:t>
            </w:r>
          </w:p>
        </w:tc>
        <w:tc>
          <w:tcPr>
            <w:tcW w:w="168" w:type="dxa"/>
            <w:tcBorders/>
            <w:shd w:fill="FFFFFF" w:val="clear"/>
            <w:vAlign w:val="center"/>
          </w:tcPr>
          <w:p>
            <w:pPr>
              <w:pStyle w:val="TableContents"/>
              <w:bidi w:val="0"/>
              <w:spacing w:before="0" w:after="0"/>
              <w:ind w:left="0" w:right="0" w:hanging="0"/>
              <w:jc w:val="left"/>
              <w:rPr/>
            </w:pPr>
            <w:r>
              <w:rPr/>
              <w:t> </w:t>
            </w:r>
          </w:p>
        </w:tc>
        <w:tc>
          <w:tcPr>
            <w:tcW w:w="121" w:type="dxa"/>
            <w:tcBorders/>
            <w:shd w:fill="FFFFFF" w:val="clear"/>
            <w:vAlign w:val="center"/>
          </w:tcPr>
          <w:p>
            <w:pPr>
              <w:pStyle w:val="TableContents"/>
              <w:bidi w:val="0"/>
              <w:spacing w:before="0" w:after="0"/>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left"/>
              <w:rPr/>
            </w:pPr>
            <w:r>
              <w:rPr/>
              <w:t> </w:t>
            </w:r>
          </w:p>
        </w:tc>
        <w:tc>
          <w:tcPr>
            <w:tcW w:w="966" w:type="dxa"/>
            <w:tcBorders/>
            <w:shd w:fill="FFFFFF" w:val="clear"/>
            <w:vAlign w:val="center"/>
          </w:tcPr>
          <w:p>
            <w:pPr>
              <w:pStyle w:val="TableContents"/>
              <w:bidi w:val="0"/>
              <w:spacing w:before="0" w:after="283"/>
              <w:jc w:val="right"/>
              <w:rPr/>
            </w:pPr>
            <w:r>
              <w:rPr/>
              <w:t>949</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4094" w:type="dxa"/>
            <w:tcBorders/>
            <w:shd w:fill="CCEEFF" w:val="clear"/>
            <w:vAlign w:val="center"/>
          </w:tcPr>
          <w:p>
            <w:pPr>
              <w:pStyle w:val="TableContents"/>
              <w:bidi w:val="0"/>
              <w:spacing w:before="0" w:after="0"/>
              <w:ind w:left="0" w:right="0" w:hanging="0"/>
              <w:jc w:val="left"/>
              <w:rPr/>
            </w:pPr>
            <w:r>
              <w:rPr/>
              <w:t>Merger acquisition costs</w:t>
            </w:r>
          </w:p>
        </w:tc>
        <w:tc>
          <w:tcPr>
            <w:tcW w:w="90"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283"/>
              <w:jc w:val="right"/>
              <w:rPr/>
            </w:pPr>
            <w:r>
              <w:rPr/>
              <w:t>-</w:t>
            </w:r>
          </w:p>
        </w:tc>
        <w:tc>
          <w:tcPr>
            <w:tcW w:w="17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99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283"/>
              <w:jc w:val="right"/>
              <w:rPr/>
            </w:pPr>
            <w:r>
              <w:rPr/>
              <w:t>200</w:t>
            </w:r>
          </w:p>
        </w:tc>
        <w:tc>
          <w:tcPr>
            <w:tcW w:w="168"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283"/>
              <w:jc w:val="right"/>
              <w:rPr/>
            </w:pPr>
            <w:r>
              <w:rPr/>
              <w:t>-</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4094" w:type="dxa"/>
            <w:tcBorders/>
            <w:shd w:fill="FFFFFF" w:val="clear"/>
            <w:vAlign w:val="center"/>
          </w:tcPr>
          <w:p>
            <w:pPr>
              <w:pStyle w:val="TableContents"/>
              <w:bidi w:val="0"/>
              <w:spacing w:before="0" w:after="0"/>
              <w:ind w:left="0" w:right="0" w:hanging="0"/>
              <w:jc w:val="left"/>
              <w:rPr/>
            </w:pPr>
            <w:r>
              <w:rPr/>
              <w:t>Impairment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1167" w:type="dxa"/>
            <w:tcBorders/>
            <w:shd w:fill="FFFFFF" w:val="clear"/>
            <w:vAlign w:val="center"/>
          </w:tcPr>
          <w:p>
            <w:pPr>
              <w:pStyle w:val="TableContents"/>
              <w:bidi w:val="0"/>
              <w:spacing w:before="0" w:after="283"/>
              <w:jc w:val="right"/>
              <w:rPr/>
            </w:pPr>
            <w:r>
              <w:rPr/>
              <w:t>817</w:t>
            </w:r>
          </w:p>
        </w:tc>
        <w:tc>
          <w:tcPr>
            <w:tcW w:w="17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999" w:type="dxa"/>
            <w:tcBorders/>
            <w:shd w:fill="FFFFFF" w:val="clear"/>
            <w:vAlign w:val="center"/>
          </w:tcPr>
          <w:p>
            <w:pPr>
              <w:pStyle w:val="TableContents"/>
              <w:bidi w:val="0"/>
              <w:spacing w:before="0" w:after="283"/>
              <w:jc w:val="right"/>
              <w:rPr/>
            </w:pPr>
            <w:r>
              <w:rPr/>
              <w:t>510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left"/>
              <w:rPr/>
            </w:pPr>
            <w:r>
              <w:rPr/>
              <w:t> </w:t>
            </w:r>
          </w:p>
        </w:tc>
        <w:tc>
          <w:tcPr>
            <w:tcW w:w="977" w:type="dxa"/>
            <w:tcBorders/>
            <w:shd w:fill="FFFFFF" w:val="clear"/>
            <w:vAlign w:val="center"/>
          </w:tcPr>
          <w:p>
            <w:pPr>
              <w:pStyle w:val="TableContents"/>
              <w:bidi w:val="0"/>
              <w:spacing w:before="0" w:after="283"/>
              <w:jc w:val="right"/>
              <w:rPr/>
            </w:pPr>
            <w:r>
              <w:rPr/>
              <w:t>2,422</w:t>
            </w:r>
          </w:p>
        </w:tc>
        <w:tc>
          <w:tcPr>
            <w:tcW w:w="168" w:type="dxa"/>
            <w:tcBorders/>
            <w:shd w:fill="FFFFFF" w:val="clear"/>
            <w:vAlign w:val="center"/>
          </w:tcPr>
          <w:p>
            <w:pPr>
              <w:pStyle w:val="TableContents"/>
              <w:bidi w:val="0"/>
              <w:spacing w:before="0" w:after="0"/>
              <w:ind w:left="0" w:right="0" w:hanging="0"/>
              <w:jc w:val="left"/>
              <w:rPr/>
            </w:pPr>
            <w:r>
              <w:rPr/>
              <w:t> </w:t>
            </w:r>
          </w:p>
        </w:tc>
        <w:tc>
          <w:tcPr>
            <w:tcW w:w="121" w:type="dxa"/>
            <w:tcBorders/>
            <w:shd w:fill="FFFFFF" w:val="clear"/>
            <w:vAlign w:val="center"/>
          </w:tcPr>
          <w:p>
            <w:pPr>
              <w:pStyle w:val="TableContents"/>
              <w:bidi w:val="0"/>
              <w:spacing w:before="0" w:after="0"/>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left"/>
              <w:rPr/>
            </w:pPr>
            <w:r>
              <w:rPr/>
              <w:t> </w:t>
            </w:r>
          </w:p>
        </w:tc>
        <w:tc>
          <w:tcPr>
            <w:tcW w:w="966" w:type="dxa"/>
            <w:tcBorders/>
            <w:shd w:fill="FFFFFF" w:val="clear"/>
            <w:vAlign w:val="center"/>
          </w:tcPr>
          <w:p>
            <w:pPr>
              <w:pStyle w:val="TableContents"/>
              <w:bidi w:val="0"/>
              <w:spacing w:before="0" w:after="283"/>
              <w:jc w:val="right"/>
              <w:rPr/>
            </w:pPr>
            <w:r>
              <w:rPr/>
              <w:t>742</w:t>
            </w:r>
          </w:p>
        </w:tc>
        <w:tc>
          <w:tcPr>
            <w:tcW w:w="177" w:type="dxa"/>
            <w:tcBorders/>
            <w:shd w:fill="FFFFFF" w:val="clear"/>
            <w:vAlign w:val="center"/>
          </w:tcPr>
          <w:p>
            <w:pPr>
              <w:pStyle w:val="TableContents"/>
              <w:bidi w:val="0"/>
              <w:spacing w:before="0" w:after="0"/>
              <w:ind w:left="0" w:right="0" w:hanging="0"/>
              <w:jc w:val="left"/>
              <w:rPr/>
            </w:pPr>
            <w:r>
              <w:rPr/>
              <w:t> </w:t>
            </w:r>
          </w:p>
        </w:tc>
      </w:tr>
      <w:tr>
        <w:trPr/>
        <w:tc>
          <w:tcPr>
            <w:tcW w:w="4094" w:type="dxa"/>
            <w:tcBorders/>
            <w:shd w:fill="CCEEFF" w:val="clear"/>
            <w:vAlign w:val="center"/>
          </w:tcPr>
          <w:p>
            <w:pPr>
              <w:pStyle w:val="TableContents"/>
              <w:bidi w:val="0"/>
              <w:spacing w:before="0" w:after="0"/>
              <w:ind w:left="0" w:right="0" w:hanging="0"/>
              <w:jc w:val="left"/>
              <w:rPr/>
            </w:pPr>
            <w:r>
              <w:rPr/>
              <w:t>Unrealized (gain)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283"/>
              <w:jc w:val="right"/>
              <w:rPr/>
            </w:pPr>
            <w:r>
              <w:rPr/>
              <w:t xml:space="preserve">(13,114 </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99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283"/>
              <w:jc w:val="right"/>
              <w:rPr/>
            </w:pPr>
            <w:r>
              <w:rPr/>
              <w:t>14,777</w:t>
            </w:r>
          </w:p>
        </w:tc>
        <w:tc>
          <w:tcPr>
            <w:tcW w:w="168"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0"/>
              <w:ind w:left="0" w:right="0" w:hanging="0"/>
              <w:jc w:val="left"/>
              <w:rPr/>
            </w:pPr>
            <w:r>
              <w:rPr/>
              <w:t> </w:t>
            </w:r>
          </w:p>
        </w:tc>
        <w:tc>
          <w:tcPr>
            <w:tcW w:w="966" w:type="dxa"/>
            <w:tcBorders/>
            <w:shd w:fill="CCEEFF" w:val="clear"/>
            <w:vAlign w:val="center"/>
          </w:tcPr>
          <w:p>
            <w:pPr>
              <w:pStyle w:val="TableContents"/>
              <w:bidi w:val="0"/>
              <w:spacing w:before="0" w:after="283"/>
              <w:jc w:val="right"/>
              <w:rPr/>
            </w:pPr>
            <w:r>
              <w:rPr/>
              <w:t>-</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4094" w:type="dxa"/>
            <w:tcBorders/>
            <w:shd w:fill="FFFFFF" w:val="clear"/>
            <w:vAlign w:val="center"/>
          </w:tcPr>
          <w:p>
            <w:pPr>
              <w:pStyle w:val="TableContents"/>
              <w:bidi w:val="0"/>
              <w:spacing w:before="0" w:after="0"/>
              <w:ind w:left="0" w:right="0" w:hanging="0"/>
              <w:jc w:val="left"/>
              <w:rPr/>
            </w:pPr>
            <w:r>
              <w:rPr/>
              <w:t>Gain on sale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1167" w:type="dxa"/>
            <w:tcBorders/>
            <w:shd w:fill="FFFFFF" w:val="clear"/>
            <w:vAlign w:val="center"/>
          </w:tcPr>
          <w:p>
            <w:pPr>
              <w:pStyle w:val="TableContents"/>
              <w:bidi w:val="0"/>
              <w:spacing w:before="0" w:after="283"/>
              <w:jc w:val="right"/>
              <w:rPr/>
            </w:pPr>
            <w:r>
              <w:rPr/>
              <w:t xml:space="preserve">(52 </w:t>
            </w:r>
          </w:p>
        </w:tc>
        <w:tc>
          <w:tcPr>
            <w:tcW w:w="174" w:type="dxa"/>
            <w:tcBorders/>
            <w:shd w:fill="FFFFFF" w:val="clear"/>
            <w:vAlign w:val="center"/>
          </w:tcPr>
          <w:p>
            <w:pPr>
              <w:pStyle w:val="TableContents"/>
              <w:bidi w:val="0"/>
              <w:spacing w:before="0" w:after="283"/>
              <w:jc w:val="lef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999" w:type="dxa"/>
            <w:tcBorders/>
            <w:shd w:fill="FFFFFF" w:val="clear"/>
            <w:vAlign w:val="center"/>
          </w:tcPr>
          <w:p>
            <w:pPr>
              <w:pStyle w:val="TableContents"/>
              <w:bidi w:val="0"/>
              <w:spacing w:before="0" w:after="283"/>
              <w:jc w:val="right"/>
              <w:rPr/>
            </w:pPr>
            <w:r>
              <w:rPr/>
              <w:t xml:space="preserve">(1,021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left"/>
              <w:rPr/>
            </w:pPr>
            <w:r>
              <w:rPr/>
              <w:t> </w:t>
            </w:r>
          </w:p>
        </w:tc>
        <w:tc>
          <w:tcPr>
            <w:tcW w:w="977" w:type="dxa"/>
            <w:tcBorders/>
            <w:shd w:fill="FFFFFF" w:val="clear"/>
            <w:vAlign w:val="center"/>
          </w:tcPr>
          <w:p>
            <w:pPr>
              <w:pStyle w:val="TableContents"/>
              <w:bidi w:val="0"/>
              <w:spacing w:before="0" w:after="283"/>
              <w:jc w:val="right"/>
              <w:rPr/>
            </w:pPr>
            <w:r>
              <w:rPr/>
              <w:t xml:space="preserve">(52 </w:t>
            </w:r>
          </w:p>
        </w:tc>
        <w:tc>
          <w:tcPr>
            <w:tcW w:w="168"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0"/>
              <w:ind w:left="0" w:right="0" w:hanging="0"/>
              <w:jc w:val="left"/>
              <w:rPr/>
            </w:pPr>
            <w:r>
              <w:rPr/>
              <w:t> </w:t>
            </w:r>
          </w:p>
        </w:tc>
        <w:tc>
          <w:tcPr>
            <w:tcW w:w="229" w:type="dxa"/>
            <w:tcBorders/>
            <w:shd w:fill="FFFFFF" w:val="clear"/>
            <w:vAlign w:val="center"/>
          </w:tcPr>
          <w:p>
            <w:pPr>
              <w:pStyle w:val="TableContents"/>
              <w:bidi w:val="0"/>
              <w:spacing w:before="0" w:after="0"/>
              <w:ind w:left="0" w:right="0" w:hanging="0"/>
              <w:jc w:val="left"/>
              <w:rPr/>
            </w:pPr>
            <w:r>
              <w:rPr/>
              <w:t> </w:t>
            </w:r>
          </w:p>
        </w:tc>
        <w:tc>
          <w:tcPr>
            <w:tcW w:w="966" w:type="dxa"/>
            <w:tcBorders/>
            <w:shd w:fill="FFFFFF" w:val="clear"/>
            <w:vAlign w:val="center"/>
          </w:tcPr>
          <w:p>
            <w:pPr>
              <w:pStyle w:val="TableContents"/>
              <w:bidi w:val="0"/>
              <w:spacing w:before="0" w:after="283"/>
              <w:jc w:val="right"/>
              <w:rPr/>
            </w:pPr>
            <w:r>
              <w:rPr/>
              <w:t xml:space="preserve">(1,021 </w:t>
            </w:r>
          </w:p>
        </w:tc>
        <w:tc>
          <w:tcPr>
            <w:tcW w:w="177" w:type="dxa"/>
            <w:tcBorders/>
            <w:shd w:fill="FFFFFF" w:val="clear"/>
            <w:vAlign w:val="center"/>
          </w:tcPr>
          <w:p>
            <w:pPr>
              <w:pStyle w:val="TableContents"/>
              <w:bidi w:val="0"/>
              <w:spacing w:before="0" w:after="283"/>
              <w:jc w:val="left"/>
              <w:rPr/>
            </w:pPr>
            <w:r>
              <w:rPr/>
              <w:t>)</w:t>
            </w:r>
          </w:p>
        </w:tc>
      </w:tr>
      <w:tr>
        <w:trPr/>
        <w:tc>
          <w:tcPr>
            <w:tcW w:w="4094" w:type="dxa"/>
            <w:tcBorders/>
            <w:shd w:fill="CCEEFF" w:val="clear"/>
            <w:vAlign w:val="center"/>
          </w:tcPr>
          <w:p>
            <w:pPr>
              <w:pStyle w:val="TableContents"/>
              <w:bidi w:val="0"/>
              <w:spacing w:before="0" w:after="0"/>
              <w:ind w:left="0" w:right="0" w:hanging="0"/>
              <w:jc w:val="left"/>
              <w:rPr/>
            </w:pPr>
            <w:r>
              <w:rPr/>
              <w:t>Note receivable - credit loss</w:t>
            </w:r>
          </w:p>
        </w:tc>
        <w:tc>
          <w:tcPr>
            <w:tcW w:w="90" w:type="dxa"/>
            <w:tcBorders/>
            <w:shd w:fill="CCEEFF" w:val="clear"/>
            <w:vAlign w:val="center"/>
          </w:tcPr>
          <w:p>
            <w:pPr>
              <w:pStyle w:val="TableContents"/>
              <w:bidi w:val="0"/>
              <w:spacing w:before="0" w:after="0"/>
              <w:ind w:left="0" w:right="0" w:hanging="0"/>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74"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9" w:type="dxa"/>
            <w:tcBorders>
              <w:bottom w:val="single" w:sz="2" w:space="0" w:color="000000"/>
            </w:tcBorders>
            <w:shd w:fill="CCEEFF" w:val="clear"/>
            <w:tcMar>
              <w:bottom w:w="28" w:type="dxa"/>
            </w:tcMar>
            <w:vAlign w:val="center"/>
          </w:tcPr>
          <w:p>
            <w:pPr>
              <w:pStyle w:val="TableContents"/>
              <w:bidi w:val="0"/>
              <w:spacing w:before="0" w:after="283"/>
              <w:jc w:val="right"/>
              <w:rPr/>
            </w:pPr>
            <w:r>
              <w:rPr/>
              <w:t>1,378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68" w:type="dxa"/>
            <w:tcBorders/>
            <w:shd w:fill="CCEEFF" w:val="clear"/>
            <w:vAlign w:val="center"/>
          </w:tcPr>
          <w:p>
            <w:pPr>
              <w:pStyle w:val="TableContents"/>
              <w:bidi w:val="0"/>
              <w:spacing w:before="0" w:after="0"/>
              <w:ind w:left="0" w:right="0" w:hanging="0"/>
              <w:jc w:val="left"/>
              <w:rPr/>
            </w:pPr>
            <w:r>
              <w:rPr/>
              <w:t> </w:t>
            </w:r>
          </w:p>
        </w:tc>
        <w:tc>
          <w:tcPr>
            <w:tcW w:w="121" w:type="dxa"/>
            <w:tcBorders/>
            <w:shd w:fill="CCEEFF" w:val="cle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jc w:val="right"/>
              <w:rPr/>
            </w:pPr>
            <w:r>
              <w:rPr/>
              <w:t>1,378</w:t>
            </w:r>
          </w:p>
        </w:tc>
        <w:tc>
          <w:tcPr>
            <w:tcW w:w="177" w:type="dxa"/>
            <w:tcBorders/>
            <w:shd w:fill="CCEEFF" w:val="clear"/>
            <w:vAlign w:val="center"/>
          </w:tcPr>
          <w:p>
            <w:pPr>
              <w:pStyle w:val="TableContents"/>
              <w:bidi w:val="0"/>
              <w:spacing w:before="0" w:after="0"/>
              <w:ind w:left="0" w:right="0" w:hanging="0"/>
              <w:jc w:val="left"/>
              <w:rPr/>
            </w:pPr>
            <w:r>
              <w:rPr/>
              <w:t> </w:t>
            </w:r>
          </w:p>
        </w:tc>
      </w:tr>
      <w:tr>
        <w:trPr/>
        <w:tc>
          <w:tcPr>
            <w:tcW w:w="4094" w:type="dxa"/>
            <w:tcBorders/>
            <w:shd w:fill="FFFFFF" w:val="clear"/>
            <w:vAlign w:val="center"/>
          </w:tcPr>
          <w:p>
            <w:pPr>
              <w:pStyle w:val="TableContents"/>
              <w:bidi w:val="0"/>
              <w:spacing w:before="0" w:after="0"/>
              <w:ind w:left="0" w:right="0" w:hanging="0"/>
              <w:jc w:val="left"/>
              <w:rPr/>
            </w:pPr>
            <w:r>
              <w:rPr>
                <w:rStyle w:val="StrongEmphasis"/>
              </w:rPr>
              <w:t>Adjusted EBITDA</w:t>
            </w:r>
          </w:p>
        </w:tc>
        <w:tc>
          <w:tcPr>
            <w:tcW w:w="90" w:type="dxa"/>
            <w:tcBorders/>
            <w:shd w:fill="FFFFFF" w:val="clear"/>
            <w:vAlign w:val="center"/>
          </w:tcPr>
          <w:p>
            <w:pPr>
              <w:pStyle w:val="TableContents"/>
              <w:bidi w:val="0"/>
              <w:spacing w:before="0" w:after="0"/>
              <w:ind w:left="0" w:right="0" w:hanging="0"/>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167"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StrongEmphasis"/>
              </w:rPr>
              <w:t>18,669</w:t>
            </w:r>
          </w:p>
        </w:tc>
        <w:tc>
          <w:tcPr>
            <w:tcW w:w="174"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999"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StrongEmphasis"/>
              </w:rPr>
              <w:t>3,032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977"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StrongEmphasis"/>
              </w:rPr>
              <w:t>36,807</w:t>
            </w:r>
          </w:p>
        </w:tc>
        <w:tc>
          <w:tcPr>
            <w:tcW w:w="168" w:type="dxa"/>
            <w:tcBorders/>
            <w:shd w:fill="FFFFFF" w:val="clear"/>
            <w:vAlign w:val="center"/>
          </w:tcPr>
          <w:p>
            <w:pPr>
              <w:pStyle w:val="TableContents"/>
              <w:bidi w:val="0"/>
              <w:spacing w:before="0" w:after="0"/>
              <w:ind w:left="0" w:right="0" w:hanging="0"/>
              <w:jc w:val="left"/>
              <w:rPr/>
            </w:pPr>
            <w:r>
              <w:rPr/>
              <w:t> </w:t>
            </w:r>
          </w:p>
        </w:tc>
        <w:tc>
          <w:tcPr>
            <w:tcW w:w="121" w:type="dxa"/>
            <w:tcBorders/>
            <w:shd w:fill="FFFFFF" w:val="cle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966"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StrongEmphasis"/>
              </w:rPr>
              <w:t>7,301</w:t>
            </w:r>
          </w:p>
        </w:tc>
        <w:tc>
          <w:tcPr>
            <w:tcW w:w="177"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9</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655" w:type="dxa"/>
        <w:jc w:val="left"/>
        <w:tblInd w:w="0" w:type="dxa"/>
        <w:tblLayout w:type="fixed"/>
        <w:tblCellMar>
          <w:top w:w="0" w:type="dxa"/>
          <w:left w:w="0" w:type="dxa"/>
          <w:bottom w:w="0" w:type="dxa"/>
          <w:right w:w="0" w:type="dxa"/>
        </w:tblCellMar>
      </w:tblPr>
      <w:tblGrid>
        <w:gridCol w:w="2655"/>
      </w:tblGrid>
      <w:tr>
        <w:trPr/>
        <w:tc>
          <w:tcPr>
            <w:tcW w:w="2655" w:type="dxa"/>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28775" cy="333375"/>
                          </a:xfrm>
                          <a:prstGeom prst="rect">
                            <a:avLst/>
                          </a:prstGeom>
                        </pic:spPr>
                      </pic:pic>
                    </a:graphicData>
                  </a:graphic>
                </wp:inline>
              </w:drawing>
            </w:r>
          </w:p>
        </w:tc>
      </w:tr>
      <w:tr>
        <w:trPr/>
        <w:tc>
          <w:tcPr>
            <w:tcW w:w="2655" w:type="dxa"/>
            <w:tcBorders>
              <w:bottom w:val="single" w:sz="2" w:space="0" w:color="F07D2D"/>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RECONCILIATION OF WORKING CAPITAL (DEFICIT) TO WORKING CAPITAL (DEFICIT) EXCLUDING DERIVATIVE CONTRACT ASSETS AND LIABILITIES</w:t>
      </w:r>
    </w:p>
    <w:p>
      <w:pPr>
        <w:pStyle w:val="TextBody"/>
        <w:bidi w:val="0"/>
        <w:spacing w:before="0" w:after="0"/>
        <w:ind w:left="0" w:right="0" w:hanging="0"/>
        <w:jc w:val="center"/>
        <w:rPr/>
      </w:pPr>
      <w:r>
        <w:rPr>
          <w:rStyle w:val="Emphasis"/>
          <w:rFonts w:ascii="times new roman" w:hAnsi="times new roman"/>
          <w:sz w:val="20"/>
        </w:rPr>
        <w:t>(amounts in thousands)</w:t>
      </w:r>
    </w:p>
    <w:p>
      <w:pPr>
        <w:pStyle w:val="TextBody"/>
        <w:bidi w:val="0"/>
        <w:spacing w:before="0" w:after="0"/>
        <w:ind w:left="0" w:right="0" w:hanging="0"/>
        <w:jc w:val="center"/>
        <w:rPr/>
      </w:pPr>
      <w:r>
        <w:rPr/>
        <w:t> </w:t>
      </w:r>
    </w:p>
    <w:tbl>
      <w:tblPr>
        <w:tblW w:w="9173" w:type="dxa"/>
        <w:jc w:val="left"/>
        <w:tblInd w:w="0" w:type="dxa"/>
        <w:tblLayout w:type="fixed"/>
        <w:tblCellMar>
          <w:top w:w="0" w:type="dxa"/>
          <w:left w:w="0" w:type="dxa"/>
          <w:bottom w:w="0" w:type="dxa"/>
          <w:right w:w="0" w:type="dxa"/>
        </w:tblCellMar>
      </w:tblPr>
      <w:tblGrid>
        <w:gridCol w:w="6410"/>
        <w:gridCol w:w="90"/>
        <w:gridCol w:w="184"/>
        <w:gridCol w:w="855"/>
        <w:gridCol w:w="125"/>
        <w:gridCol w:w="90"/>
        <w:gridCol w:w="222"/>
        <w:gridCol w:w="1027"/>
        <w:gridCol w:w="170"/>
      </w:tblGrid>
      <w:tr>
        <w:trPr/>
        <w:tc>
          <w:tcPr>
            <w:tcW w:w="641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June 30, </w:t>
            </w:r>
          </w:p>
          <w:p>
            <w:pPr>
              <w:pStyle w:val="TableContents"/>
              <w:bidi w:val="0"/>
              <w:spacing w:before="0" w:after="0"/>
              <w:ind w:left="0" w:right="0" w:hanging="0"/>
              <w:jc w:val="center"/>
              <w:rPr/>
            </w:pPr>
            <w:r>
              <w:rPr>
                <w:rStyle w:val="StrongEmphasis"/>
                <w:rFonts w:ascii="times new roman" w:hAnsi="times new roman"/>
                <w:sz w:val="20"/>
              </w:rPr>
              <w:t>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December 31, </w:t>
            </w:r>
          </w:p>
          <w:p>
            <w:pPr>
              <w:pStyle w:val="TableContents"/>
              <w:bidi w:val="0"/>
              <w:spacing w:before="0" w:after="0"/>
              <w:ind w:left="0" w:right="0" w:hanging="0"/>
              <w:jc w:val="center"/>
              <w:rPr/>
            </w:pPr>
            <w:r>
              <w:rPr>
                <w:rStyle w:val="StrongEmphasis"/>
                <w:rFonts w:ascii="times new roman" w:hAnsi="times new roman"/>
                <w:sz w:val="20"/>
              </w:rPr>
              <w:t>2025</w:t>
            </w:r>
          </w:p>
        </w:tc>
        <w:tc>
          <w:tcPr>
            <w:tcW w:w="170" w:type="dxa"/>
            <w:tcBorders/>
            <w:vAlign w:val="center"/>
          </w:tcPr>
          <w:p>
            <w:pPr>
              <w:pStyle w:val="TableContents"/>
              <w:bidi w:val="0"/>
              <w:spacing w:before="0" w:after="0"/>
              <w:ind w:left="0" w:right="0" w:hanging="0"/>
              <w:jc w:val="left"/>
              <w:rPr/>
            </w:pPr>
            <w:r>
              <w:rPr/>
              <w:t> </w:t>
            </w:r>
          </w:p>
        </w:tc>
      </w:tr>
      <w:tr>
        <w:trPr/>
        <w:tc>
          <w:tcPr>
            <w:tcW w:w="641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39" w:type="dxa"/>
            <w:gridSpan w:val="2"/>
            <w:tcBorders/>
            <w:vAlign w:val="center"/>
          </w:tcPr>
          <w:p>
            <w:pPr>
              <w:pStyle w:val="TableContents"/>
              <w:bidi w:val="0"/>
              <w:spacing w:before="0" w:after="0"/>
              <w:ind w:left="0" w:right="0" w:hanging="0"/>
              <w:jc w:val="center"/>
              <w:rPr/>
            </w:pPr>
            <w:r>
              <w:rPr>
                <w:rStyle w:val="Emphasis"/>
                <w:rFonts w:ascii="times new roman" w:hAnsi="times new roman"/>
                <w:sz w:val="20"/>
              </w:rPr>
              <w:t>(Unaudited)</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49"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641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39"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49"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6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283"/>
              <w:jc w:val="left"/>
              <w:rPr/>
            </w:pPr>
            <w:r>
              <w:rPr/>
              <w:t>$</w:t>
            </w:r>
          </w:p>
        </w:tc>
        <w:tc>
          <w:tcPr>
            <w:tcW w:w="855" w:type="dxa"/>
            <w:tcBorders/>
            <w:shd w:fill="CCEEFF" w:val="clear"/>
            <w:vAlign w:val="center"/>
          </w:tcPr>
          <w:p>
            <w:pPr>
              <w:pStyle w:val="TableContents"/>
              <w:bidi w:val="0"/>
              <w:spacing w:before="0" w:after="283"/>
              <w:jc w:val="right"/>
              <w:rPr/>
            </w:pPr>
            <w:r>
              <w:rPr/>
              <w:t>39,820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37,751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Total 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283"/>
              <w:jc w:val="right"/>
              <w:rPr/>
            </w:pPr>
            <w:r>
              <w:rPr/>
              <w:t>(50,742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7" w:type="dxa"/>
            <w:tcBorders>
              <w:bottom w:val="single" w:sz="2" w:space="0" w:color="000000"/>
            </w:tcBorders>
            <w:shd w:fill="FFFFFF" w:val="clear"/>
            <w:tcMar>
              <w:bottom w:w="28" w:type="dxa"/>
            </w:tcMar>
            <w:vAlign w:val="center"/>
          </w:tcPr>
          <w:p>
            <w:pPr>
              <w:pStyle w:val="TableContents"/>
              <w:bidi w:val="0"/>
              <w:spacing w:before="0" w:after="283"/>
              <w:jc w:val="right"/>
              <w:rPr/>
            </w:pPr>
            <w:r>
              <w:rPr/>
              <w:t>(64,477</w:t>
            </w:r>
          </w:p>
        </w:tc>
        <w:tc>
          <w:tcPr>
            <w:tcW w:w="170" w:type="dxa"/>
            <w:tcBorders/>
            <w:shd w:fill="FFFFFF" w:val="clear"/>
            <w:vAlign w:val="center"/>
          </w:tcPr>
          <w:p>
            <w:pPr>
              <w:pStyle w:val="TableContents"/>
              <w:bidi w:val="0"/>
              <w:spacing w:before="0" w:after="283"/>
              <w:jc w:val="left"/>
              <w:rPr/>
            </w:pPr>
            <w:r>
              <w:rPr/>
              <w:t>)</w:t>
            </w:r>
          </w:p>
        </w:tc>
      </w:tr>
      <w:tr>
        <w:trPr/>
        <w:tc>
          <w:tcPr>
            <w:tcW w:w="6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Working capital (deficit) (GAAP)</w:t>
            </w:r>
          </w:p>
        </w:tc>
        <w:tc>
          <w:tcPr>
            <w:tcW w:w="9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jc w:val="right"/>
              <w:rPr/>
            </w:pPr>
            <w:r>
              <w:rPr/>
              <w:t>(10,922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7" w:type="dxa"/>
            <w:tcBorders>
              <w:bottom w:val="single" w:sz="2" w:space="0" w:color="000000"/>
            </w:tcBorders>
            <w:shd w:fill="CCEEFF" w:val="clear"/>
            <w:tcMar>
              <w:bottom w:w="28" w:type="dxa"/>
            </w:tcMar>
            <w:vAlign w:val="center"/>
          </w:tcPr>
          <w:p>
            <w:pPr>
              <w:pStyle w:val="TableContents"/>
              <w:bidi w:val="0"/>
              <w:spacing w:before="0" w:after="283"/>
              <w:jc w:val="right"/>
              <w:rPr/>
            </w:pPr>
            <w:r>
              <w:rPr/>
              <w:t>(26,726</w:t>
            </w:r>
          </w:p>
        </w:tc>
        <w:tc>
          <w:tcPr>
            <w:tcW w:w="17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0"/>
              <w:ind w:left="0" w:right="0" w:hanging="0"/>
              <w:jc w:val="left"/>
              <w:rPr/>
            </w:pPr>
            <w:r>
              <w:rPr/>
              <w:t> </w:t>
            </w:r>
          </w:p>
        </w:tc>
        <w:tc>
          <w:tcPr>
            <w:tcW w:w="1027"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w:t>
            </w:r>
          </w:p>
        </w:tc>
        <w:tc>
          <w:tcPr>
            <w:tcW w:w="9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 </w:t>
            </w:r>
          </w:p>
        </w:tc>
        <w:tc>
          <w:tcPr>
            <w:tcW w:w="1027"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410"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Less: Derivative contract assets, current</w:t>
            </w:r>
          </w:p>
        </w:tc>
        <w:tc>
          <w:tcPr>
            <w:tcW w:w="9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855" w:type="dxa"/>
            <w:tcBorders/>
            <w:shd w:fill="FFFFFF" w:val="clear"/>
            <w:vAlign w:val="center"/>
          </w:tcPr>
          <w:p>
            <w:pPr>
              <w:pStyle w:val="TableContents"/>
              <w:bidi w:val="0"/>
              <w:spacing w:before="0" w:after="283"/>
              <w:jc w:val="right"/>
              <w:rPr/>
            </w:pPr>
            <w:r>
              <w:rPr/>
              <w:t>(3,347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0"/>
              <w:ind w:left="0" w:right="0" w:hanging="0"/>
              <w:jc w:val="left"/>
              <w:rPr/>
            </w:pPr>
            <w:r>
              <w:rPr/>
              <w:t> </w:t>
            </w:r>
          </w:p>
        </w:tc>
        <w:tc>
          <w:tcPr>
            <w:tcW w:w="1027" w:type="dxa"/>
            <w:tcBorders/>
            <w:shd w:fill="FFFFFF" w:val="clear"/>
            <w:vAlign w:val="center"/>
          </w:tcPr>
          <w:p>
            <w:pPr>
              <w:pStyle w:val="TableContents"/>
              <w:bidi w:val="0"/>
              <w:spacing w:before="0" w:after="283"/>
              <w:jc w:val="right"/>
              <w:rPr/>
            </w:pPr>
            <w:r>
              <w:rPr/>
              <w:t>(8,368</w:t>
            </w:r>
          </w:p>
        </w:tc>
        <w:tc>
          <w:tcPr>
            <w:tcW w:w="170" w:type="dxa"/>
            <w:tcBorders/>
            <w:shd w:fill="FFFFFF" w:val="clear"/>
            <w:vAlign w:val="center"/>
          </w:tcPr>
          <w:p>
            <w:pPr>
              <w:pStyle w:val="TableContents"/>
              <w:bidi w:val="0"/>
              <w:spacing w:before="0" w:after="283"/>
              <w:jc w:val="left"/>
              <w:rPr/>
            </w:pPr>
            <w:r>
              <w:rPr/>
              <w:t>)</w:t>
            </w:r>
          </w:p>
        </w:tc>
      </w:tr>
      <w:tr>
        <w:trPr/>
        <w:tc>
          <w:tcPr>
            <w:tcW w:w="641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Add: Derivative contract liabilities,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283"/>
              <w:jc w:val="right"/>
              <w:rPr/>
            </w:pPr>
            <w:r>
              <w:rPr/>
              <w:t>5,687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7" w:type="dxa"/>
            <w:tcBorders>
              <w:bottom w:val="single" w:sz="2" w:space="0" w:color="000000"/>
            </w:tcBorders>
            <w:shd w:fill="CCEEFF" w:val="clear"/>
            <w:tcMar>
              <w:bottom w:w="28" w:type="dxa"/>
            </w:tcMar>
            <w:vAlign w:val="center"/>
          </w:tcPr>
          <w:p>
            <w:pPr>
              <w:pStyle w:val="TableContents"/>
              <w:bidi w:val="0"/>
              <w:spacing w:before="0" w:after="283"/>
              <w:jc w:val="right"/>
              <w:rPr/>
            </w:pPr>
            <w:r>
              <w:rPr/>
              <w:t>964</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41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Working capital (deficit) excluding derivative contract assets and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(8,582</w:t>
            </w:r>
          </w:p>
        </w:tc>
        <w:tc>
          <w:tcPr>
            <w:tcW w:w="125" w:type="dxa"/>
            <w:tcBorders/>
            <w:shd w:fill="FFFFFF" w:val="clear"/>
            <w:vAlign w:val="center"/>
          </w:tcPr>
          <w:p>
            <w:pPr>
              <w:pStyle w:val="TableContents"/>
              <w:bidi w:val="0"/>
              <w:spacing w:before="0" w:after="283"/>
              <w:jc w:val="lef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(34,130</w:t>
            </w:r>
          </w:p>
        </w:tc>
        <w:tc>
          <w:tcPr>
            <w:tcW w:w="170" w:type="dxa"/>
            <w:tcBorders/>
            <w:shd w:fill="FFFFFF" w:val="clear"/>
            <w:vAlign w:val="center"/>
          </w:tcPr>
          <w:p>
            <w:pPr>
              <w:pStyle w:val="TableContents"/>
              <w:bidi w:val="0"/>
              <w:spacing w:before="0" w:after="283"/>
              <w:jc w:val="left"/>
              <w:rPr/>
            </w:pPr>
            <w:r>
              <w:rPr>
                <w:rStyle w:val="StrongEmphasis"/>
              </w:rPr>
              <w:t>)</w:t>
            </w:r>
          </w:p>
        </w:tc>
      </w:tr>
    </w:tbl>
    <w:p>
      <w:pPr>
        <w:pStyle w:val="TextBody"/>
        <w:bidi w:val="0"/>
        <w:spacing w:before="0" w:after="0"/>
        <w:ind w:left="0" w:right="0" w:hanging="0"/>
        <w:jc w:val="both"/>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right"/>
              <w:rPr/>
            </w:pPr>
            <w:r>
              <w:rPr/>
              <w:t>10</w:t>
            </w:r>
          </w:p>
        </w:tc>
      </w:tr>
      <w:tr>
        <w:trPr/>
        <w:tc>
          <w:tcPr>
            <w:tcW w:w="35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655" w:type="dxa"/>
        <w:jc w:val="left"/>
        <w:tblInd w:w="0" w:type="dxa"/>
        <w:tblLayout w:type="fixed"/>
        <w:tblCellMar>
          <w:top w:w="0" w:type="dxa"/>
          <w:left w:w="0" w:type="dxa"/>
          <w:bottom w:w="0" w:type="dxa"/>
          <w:right w:w="0" w:type="dxa"/>
        </w:tblCellMar>
      </w:tblPr>
      <w:tblGrid>
        <w:gridCol w:w="2655"/>
      </w:tblGrid>
      <w:tr>
        <w:trPr/>
        <w:tc>
          <w:tcPr>
            <w:tcW w:w="2655" w:type="dxa"/>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628775" cy="333375"/>
                          </a:xfrm>
                          <a:prstGeom prst="rect">
                            <a:avLst/>
                          </a:prstGeom>
                        </pic:spPr>
                      </pic:pic>
                    </a:graphicData>
                  </a:graphic>
                </wp:inline>
              </w:drawing>
            </w:r>
          </w:p>
        </w:tc>
      </w:tr>
      <w:tr>
        <w:trPr/>
        <w:tc>
          <w:tcPr>
            <w:tcW w:w="2655" w:type="dxa"/>
            <w:tcBorders>
              <w:bottom w:val="single" w:sz="2" w:space="0" w:color="F07D2D"/>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SCHEDULE OF OPEN DERIVATIVE CONTRACTS</w:t>
      </w:r>
    </w:p>
    <w:p>
      <w:pPr>
        <w:pStyle w:val="TextBody"/>
        <w:bidi w:val="0"/>
        <w:spacing w:before="0" w:after="0"/>
        <w:ind w:left="0" w:right="0" w:hanging="0"/>
        <w:jc w:val="center"/>
        <w:rPr/>
      </w:pPr>
      <w:r>
        <w:rPr>
          <w:rStyle w:val="Emphasis"/>
          <w:rFonts w:ascii="times new roman" w:hAnsi="times new roman"/>
          <w:sz w:val="20"/>
        </w:rPr>
        <w:t>As of June 30, 2026</w:t>
      </w:r>
    </w:p>
    <w:p>
      <w:pPr>
        <w:pStyle w:val="TextBody"/>
        <w:bidi w:val="0"/>
        <w:spacing w:before="0" w:after="0"/>
        <w:ind w:left="0" w:right="0" w:hanging="0"/>
        <w:jc w:val="center"/>
        <w:rPr/>
      </w:pPr>
      <w:r>
        <w:rPr>
          <w:rStyle w:val="Emphasis"/>
          <w:rFonts w:ascii="times new roman" w:hAnsi="times new roman"/>
          <w:sz w:val="20"/>
        </w:rPr>
        <w:t>(All contracts novated from the Juniper Merger effective November 1, 2025, and new hedges subsequently entered into by the Company; volumes in Boe or Mcf as noted; amounts in thousands)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567"/>
        <w:gridCol w:w="90"/>
        <w:gridCol w:w="101"/>
        <w:gridCol w:w="937"/>
        <w:gridCol w:w="101"/>
        <w:gridCol w:w="101"/>
        <w:gridCol w:w="209"/>
        <w:gridCol w:w="730"/>
        <w:gridCol w:w="101"/>
        <w:gridCol w:w="101"/>
        <w:gridCol w:w="224"/>
        <w:gridCol w:w="781"/>
        <w:gridCol w:w="101"/>
        <w:gridCol w:w="101"/>
        <w:gridCol w:w="214"/>
        <w:gridCol w:w="746"/>
        <w:gridCol w:w="90"/>
        <w:gridCol w:w="90"/>
        <w:gridCol w:w="103"/>
        <w:gridCol w:w="957"/>
        <w:gridCol w:w="103"/>
        <w:gridCol w:w="103"/>
        <w:gridCol w:w="224"/>
        <w:gridCol w:w="781"/>
        <w:gridCol w:w="103"/>
        <w:gridCol w:w="103"/>
        <w:gridCol w:w="214"/>
        <w:gridCol w:w="746"/>
        <w:gridCol w:w="103"/>
        <w:gridCol w:w="103"/>
        <w:gridCol w:w="229"/>
        <w:gridCol w:w="797"/>
        <w:gridCol w:w="151"/>
      </w:tblGrid>
      <w:tr>
        <w:trPr/>
        <w:tc>
          <w:tcPr>
            <w:tcW w:w="10205" w:type="dxa"/>
            <w:gridSpan w:val="33"/>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Crude Oil - 3 Way Collars</w:t>
            </w:r>
          </w:p>
        </w:tc>
      </w:tr>
      <w:tr>
        <w:trPr/>
        <w:tc>
          <w:tcPr>
            <w:tcW w:w="567"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4548" w:type="dxa"/>
            <w:gridSpan w:val="14"/>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Producer Three-Way Collars (Summary of 3 separate contracts)</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4669" w:type="dxa"/>
            <w:gridSpan w:val="14"/>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Participating Three-Way Collars (Summary of 3 separate contracts)</w:t>
            </w:r>
          </w:p>
        </w:tc>
        <w:tc>
          <w:tcPr>
            <w:tcW w:w="151" w:type="dxa"/>
            <w:tcBorders/>
            <w:tcMar>
              <w:bottom w:w="0" w:type="dxa"/>
            </w:tcMar>
            <w:vAlign w:val="center"/>
          </w:tcPr>
          <w:p>
            <w:pPr>
              <w:pStyle w:val="TableContents"/>
              <w:bidi w:val="0"/>
              <w:spacing w:before="0" w:after="0"/>
              <w:ind w:left="0" w:right="0" w:hanging="0"/>
              <w:jc w:val="left"/>
              <w:rPr/>
            </w:pPr>
            <w:r>
              <w:rPr>
                <w:rStyle w:val="StrongEmphasis"/>
              </w:rPr>
              <w:t> </w:t>
            </w:r>
          </w:p>
        </w:tc>
      </w:tr>
      <w:tr>
        <w:trPr/>
        <w:tc>
          <w:tcPr>
            <w:tcW w:w="567"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Date</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038"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Volume (Boe)</w:t>
            </w:r>
          </w:p>
        </w:tc>
        <w:tc>
          <w:tcPr>
            <w:tcW w:w="101"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01"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3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Put Sold ($/Boe)</w:t>
            </w:r>
          </w:p>
        </w:tc>
        <w:tc>
          <w:tcPr>
            <w:tcW w:w="101"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01"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00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Put Bought ($/Boe)</w:t>
            </w:r>
          </w:p>
        </w:tc>
        <w:tc>
          <w:tcPr>
            <w:tcW w:w="101"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01"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6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Call Sold ($/Boe)</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06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Volume (Boe)</w:t>
            </w:r>
          </w:p>
        </w:tc>
        <w:tc>
          <w:tcPr>
            <w:tcW w:w="103"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03"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00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Put Bought ($/Boe)</w:t>
            </w:r>
          </w:p>
        </w:tc>
        <w:tc>
          <w:tcPr>
            <w:tcW w:w="103"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03"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6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Call Sold ($/Boe)</w:t>
            </w:r>
          </w:p>
        </w:tc>
        <w:tc>
          <w:tcPr>
            <w:tcW w:w="103"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03"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026"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Call Bought ($/Boe)</w:t>
            </w:r>
          </w:p>
        </w:tc>
        <w:tc>
          <w:tcPr>
            <w:tcW w:w="151" w:type="dxa"/>
            <w:tcBorders/>
            <w:tcMar>
              <w:bottom w:w="0" w:type="dxa"/>
            </w:tcMar>
            <w:vAlign w:val="center"/>
          </w:tcPr>
          <w:p>
            <w:pPr>
              <w:pStyle w:val="TableContents"/>
              <w:bidi w:val="0"/>
              <w:spacing w:before="0" w:after="0"/>
              <w:ind w:left="0" w:right="0" w:hanging="0"/>
              <w:jc w:val="left"/>
              <w:rPr/>
            </w:pPr>
            <w:r>
              <w:rPr>
                <w:rStyle w:val="StrongEmphasis"/>
              </w:rPr>
              <w:t> </w:t>
            </w:r>
          </w:p>
        </w:tc>
      </w:tr>
      <w:tr>
        <w:trPr/>
        <w:tc>
          <w:tcPr>
            <w:tcW w:w="56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31,800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w:t>
            </w:r>
          </w:p>
        </w:tc>
        <w:tc>
          <w:tcPr>
            <w:tcW w:w="730" w:type="dxa"/>
            <w:tcBorders/>
            <w:shd w:fill="CCEEFF" w:val="clear"/>
            <w:tcMar>
              <w:bottom w:w="0" w:type="dxa"/>
            </w:tcMar>
            <w:vAlign w:val="center"/>
          </w:tcPr>
          <w:p>
            <w:pPr>
              <w:pStyle w:val="TableContents"/>
              <w:bidi w:val="0"/>
              <w:spacing w:before="0" w:after="283"/>
              <w:jc w:val="right"/>
              <w:rPr/>
            </w:pPr>
            <w:r>
              <w:rPr/>
              <w:t>45.00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right"/>
              <w:rPr/>
            </w:pPr>
            <w:r>
              <w:rPr/>
              <w:t>55.00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746" w:type="dxa"/>
            <w:tcBorders/>
            <w:shd w:fill="CCEEFF" w:val="clear"/>
            <w:tcMar>
              <w:bottom w:w="0" w:type="dxa"/>
            </w:tcMar>
            <w:vAlign w:val="center"/>
          </w:tcPr>
          <w:p>
            <w:pPr>
              <w:pStyle w:val="TableContents"/>
              <w:bidi w:val="0"/>
              <w:spacing w:before="0" w:after="283"/>
              <w:jc w:val="right"/>
              <w:rPr/>
            </w:pPr>
            <w:r>
              <w:rPr/>
              <w:t>67.65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24,400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right"/>
              <w:rPr/>
            </w:pPr>
            <w:r>
              <w:rPr/>
              <w:t>54.00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746" w:type="dxa"/>
            <w:tcBorders/>
            <w:shd w:fill="CCEEFF" w:val="clear"/>
            <w:tcMar>
              <w:bottom w:w="0" w:type="dxa"/>
            </w:tcMar>
            <w:vAlign w:val="center"/>
          </w:tcPr>
          <w:p>
            <w:pPr>
              <w:pStyle w:val="TableContents"/>
              <w:bidi w:val="0"/>
              <w:spacing w:before="0" w:after="283"/>
              <w:jc w:val="right"/>
              <w:rPr/>
            </w:pPr>
            <w:r>
              <w:rPr/>
              <w:t>62.50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w:t>
            </w:r>
          </w:p>
        </w:tc>
        <w:tc>
          <w:tcPr>
            <w:tcW w:w="797" w:type="dxa"/>
            <w:tcBorders/>
            <w:shd w:fill="CCEEFF" w:val="clear"/>
            <w:tcMar>
              <w:bottom w:w="0" w:type="dxa"/>
            </w:tcMar>
            <w:vAlign w:val="center"/>
          </w:tcPr>
          <w:p>
            <w:pPr>
              <w:pStyle w:val="TableContents"/>
              <w:bidi w:val="0"/>
              <w:spacing w:before="0" w:after="283"/>
              <w:jc w:val="right"/>
              <w:rPr/>
            </w:pPr>
            <w:r>
              <w:rPr/>
              <w:t>80.00</w:t>
            </w:r>
          </w:p>
        </w:tc>
        <w:tc>
          <w:tcPr>
            <w:tcW w:w="151"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6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FFFFFF" w:val="clear"/>
            <w:vAlign w:val="center"/>
          </w:tcPr>
          <w:p>
            <w:pPr>
              <w:pStyle w:val="TableContents"/>
              <w:bidi w:val="0"/>
              <w:spacing w:before="0" w:after="283"/>
              <w:jc w:val="right"/>
              <w:rPr/>
            </w:pPr>
            <w:r>
              <w:rPr/>
              <w:t>29,700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FFFFFF" w:val="clear"/>
            <w:vAlign w:val="center"/>
          </w:tcPr>
          <w:p>
            <w:pPr>
              <w:pStyle w:val="TableContents"/>
              <w:bidi w:val="0"/>
              <w:spacing w:before="0" w:after="283"/>
              <w:jc w:val="left"/>
              <w:rPr/>
            </w:pPr>
            <w:r>
              <w:rPr/>
              <w:t>$</w:t>
            </w:r>
          </w:p>
        </w:tc>
        <w:tc>
          <w:tcPr>
            <w:tcW w:w="730" w:type="dxa"/>
            <w:tcBorders>
              <w:bottom w:val="single" w:sz="2" w:space="0" w:color="000000"/>
            </w:tcBorders>
            <w:shd w:fill="FFFFFF" w:val="clear"/>
            <w:vAlign w:val="center"/>
          </w:tcPr>
          <w:p>
            <w:pPr>
              <w:pStyle w:val="TableContents"/>
              <w:bidi w:val="0"/>
              <w:spacing w:before="0" w:after="283"/>
              <w:jc w:val="right"/>
              <w:rPr/>
            </w:pPr>
            <w:r>
              <w:rPr/>
              <w:t>45.00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283"/>
              <w:jc w:val="left"/>
              <w:rPr/>
            </w:pPr>
            <w:r>
              <w:rPr/>
              <w:t>$</w:t>
            </w:r>
          </w:p>
        </w:tc>
        <w:tc>
          <w:tcPr>
            <w:tcW w:w="781" w:type="dxa"/>
            <w:tcBorders>
              <w:bottom w:val="single" w:sz="2" w:space="0" w:color="000000"/>
            </w:tcBorders>
            <w:shd w:fill="FFFFFF" w:val="clear"/>
            <w:vAlign w:val="center"/>
          </w:tcPr>
          <w:p>
            <w:pPr>
              <w:pStyle w:val="TableContents"/>
              <w:bidi w:val="0"/>
              <w:spacing w:before="0" w:after="283"/>
              <w:jc w:val="right"/>
              <w:rPr/>
            </w:pPr>
            <w:r>
              <w:rPr/>
              <w:t>55.00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FFFFFF" w:val="clear"/>
            <w:vAlign w:val="center"/>
          </w:tcPr>
          <w:p>
            <w:pPr>
              <w:pStyle w:val="TableContents"/>
              <w:bidi w:val="0"/>
              <w:spacing w:before="0" w:after="283"/>
              <w:jc w:val="left"/>
              <w:rPr/>
            </w:pPr>
            <w:r>
              <w:rPr/>
              <w:t>$</w:t>
            </w:r>
          </w:p>
        </w:tc>
        <w:tc>
          <w:tcPr>
            <w:tcW w:w="746" w:type="dxa"/>
            <w:tcBorders>
              <w:bottom w:val="single" w:sz="2" w:space="0" w:color="000000"/>
            </w:tcBorders>
            <w:shd w:fill="FFFFFF" w:val="clear"/>
            <w:vAlign w:val="center"/>
          </w:tcPr>
          <w:p>
            <w:pPr>
              <w:pStyle w:val="TableContents"/>
              <w:bidi w:val="0"/>
              <w:spacing w:before="0" w:after="283"/>
              <w:jc w:val="right"/>
              <w:rPr/>
            </w:pPr>
            <w:r>
              <w:rPr/>
              <w:t>67.65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FFFFFF" w:val="clear"/>
            <w:vAlign w:val="center"/>
          </w:tcPr>
          <w:p>
            <w:pPr>
              <w:pStyle w:val="TableContents"/>
              <w:bidi w:val="0"/>
              <w:spacing w:before="0" w:after="283"/>
              <w:jc w:val="right"/>
              <w:rPr/>
            </w:pPr>
            <w:r>
              <w:rPr/>
              <w:t>66,900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283"/>
              <w:jc w:val="left"/>
              <w:rPr/>
            </w:pPr>
            <w:r>
              <w:rPr/>
              <w:t>$</w:t>
            </w:r>
          </w:p>
        </w:tc>
        <w:tc>
          <w:tcPr>
            <w:tcW w:w="781" w:type="dxa"/>
            <w:tcBorders>
              <w:bottom w:val="single" w:sz="2" w:space="0" w:color="000000"/>
            </w:tcBorders>
            <w:shd w:fill="FFFFFF" w:val="clear"/>
            <w:vAlign w:val="center"/>
          </w:tcPr>
          <w:p>
            <w:pPr>
              <w:pStyle w:val="TableContents"/>
              <w:bidi w:val="0"/>
              <w:spacing w:before="0" w:after="283"/>
              <w:jc w:val="right"/>
              <w:rPr/>
            </w:pPr>
            <w:r>
              <w:rPr/>
              <w:t>54.00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FFFFFF" w:val="clear"/>
            <w:vAlign w:val="center"/>
          </w:tcPr>
          <w:p>
            <w:pPr>
              <w:pStyle w:val="TableContents"/>
              <w:bidi w:val="0"/>
              <w:spacing w:before="0" w:after="283"/>
              <w:jc w:val="left"/>
              <w:rPr/>
            </w:pPr>
            <w:r>
              <w:rPr/>
              <w:t>$</w:t>
            </w:r>
          </w:p>
        </w:tc>
        <w:tc>
          <w:tcPr>
            <w:tcW w:w="746" w:type="dxa"/>
            <w:tcBorders>
              <w:bottom w:val="single" w:sz="2" w:space="0" w:color="000000"/>
            </w:tcBorders>
            <w:shd w:fill="FFFFFF" w:val="clear"/>
            <w:vAlign w:val="center"/>
          </w:tcPr>
          <w:p>
            <w:pPr>
              <w:pStyle w:val="TableContents"/>
              <w:bidi w:val="0"/>
              <w:spacing w:before="0" w:after="283"/>
              <w:jc w:val="right"/>
              <w:rPr/>
            </w:pPr>
            <w:r>
              <w:rPr/>
              <w:t>62.50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FFFFFF" w:val="clear"/>
            <w:vAlign w:val="center"/>
          </w:tcPr>
          <w:p>
            <w:pPr>
              <w:pStyle w:val="TableContents"/>
              <w:bidi w:val="0"/>
              <w:spacing w:before="0" w:after="283"/>
              <w:jc w:val="left"/>
              <w:rPr/>
            </w:pPr>
            <w:r>
              <w:rPr/>
              <w:t>$</w:t>
            </w:r>
          </w:p>
        </w:tc>
        <w:tc>
          <w:tcPr>
            <w:tcW w:w="797" w:type="dxa"/>
            <w:tcBorders>
              <w:bottom w:val="single" w:sz="2" w:space="0" w:color="000000"/>
            </w:tcBorders>
            <w:shd w:fill="FFFFFF" w:val="clear"/>
            <w:vAlign w:val="center"/>
          </w:tcPr>
          <w:p>
            <w:pPr>
              <w:pStyle w:val="TableContents"/>
              <w:bidi w:val="0"/>
              <w:spacing w:before="0" w:after="283"/>
              <w:jc w:val="right"/>
              <w:rPr/>
            </w:pPr>
            <w:r>
              <w:rPr/>
              <w:t>80.00</w:t>
            </w:r>
          </w:p>
        </w:tc>
        <w:tc>
          <w:tcPr>
            <w:tcW w:w="151"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67"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vAlign w:val="center"/>
          </w:tcPr>
          <w:p>
            <w:pPr>
              <w:pStyle w:val="TableContents"/>
              <w:bidi w:val="0"/>
              <w:spacing w:before="0" w:after="283"/>
              <w:jc w:val="right"/>
              <w:rPr/>
            </w:pPr>
            <w:r>
              <w:rPr/>
              <w:t>61,500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CCEEFF" w:val="clear"/>
            <w:vAlign w:val="center"/>
          </w:tcPr>
          <w:p>
            <w:pPr>
              <w:pStyle w:val="TableContents"/>
              <w:bidi w:val="0"/>
              <w:spacing w:before="0" w:after="283"/>
              <w:jc w:val="left"/>
              <w:rPr/>
            </w:pPr>
            <w:r>
              <w:rPr/>
              <w:t>$</w:t>
            </w:r>
          </w:p>
        </w:tc>
        <w:tc>
          <w:tcPr>
            <w:tcW w:w="730" w:type="dxa"/>
            <w:tcBorders>
              <w:bottom w:val="single" w:sz="2" w:space="0" w:color="000000"/>
            </w:tcBorders>
            <w:shd w:fill="CCEEFF" w:val="clear"/>
            <w:vAlign w:val="center"/>
          </w:tcPr>
          <w:p>
            <w:pPr>
              <w:pStyle w:val="TableContents"/>
              <w:bidi w:val="0"/>
              <w:spacing w:before="0" w:after="283"/>
              <w:jc w:val="right"/>
              <w:rPr/>
            </w:pPr>
            <w:r>
              <w:rPr/>
              <w:t>45.00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vAlign w:val="center"/>
          </w:tcPr>
          <w:p>
            <w:pPr>
              <w:pStyle w:val="TableContents"/>
              <w:bidi w:val="0"/>
              <w:spacing w:before="0" w:after="283"/>
              <w:jc w:val="left"/>
              <w:rPr/>
            </w:pPr>
            <w:r>
              <w:rPr/>
              <w:t>$</w:t>
            </w:r>
          </w:p>
        </w:tc>
        <w:tc>
          <w:tcPr>
            <w:tcW w:w="781" w:type="dxa"/>
            <w:tcBorders>
              <w:bottom w:val="single" w:sz="2" w:space="0" w:color="000000"/>
            </w:tcBorders>
            <w:shd w:fill="CCEEFF" w:val="clear"/>
            <w:vAlign w:val="center"/>
          </w:tcPr>
          <w:p>
            <w:pPr>
              <w:pStyle w:val="TableContents"/>
              <w:bidi w:val="0"/>
              <w:spacing w:before="0" w:after="283"/>
              <w:jc w:val="right"/>
              <w:rPr/>
            </w:pPr>
            <w:r>
              <w:rPr/>
              <w:t>55.00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vAlign w:val="center"/>
          </w:tcPr>
          <w:p>
            <w:pPr>
              <w:pStyle w:val="TableContents"/>
              <w:bidi w:val="0"/>
              <w:spacing w:before="0" w:after="283"/>
              <w:jc w:val="left"/>
              <w:rPr/>
            </w:pPr>
            <w:r>
              <w:rPr/>
              <w:t>$</w:t>
            </w:r>
          </w:p>
        </w:tc>
        <w:tc>
          <w:tcPr>
            <w:tcW w:w="746" w:type="dxa"/>
            <w:tcBorders>
              <w:bottom w:val="single" w:sz="2" w:space="0" w:color="000000"/>
            </w:tcBorders>
            <w:shd w:fill="CCEEFF" w:val="clear"/>
            <w:vAlign w:val="center"/>
          </w:tcPr>
          <w:p>
            <w:pPr>
              <w:pStyle w:val="TableContents"/>
              <w:bidi w:val="0"/>
              <w:spacing w:before="0" w:after="283"/>
              <w:jc w:val="right"/>
              <w:rPr/>
            </w:pPr>
            <w:r>
              <w:rPr/>
              <w:t>67.65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vAlign w:val="center"/>
          </w:tcPr>
          <w:p>
            <w:pPr>
              <w:pStyle w:val="TableContents"/>
              <w:bidi w:val="0"/>
              <w:spacing w:before="0" w:after="283"/>
              <w:jc w:val="right"/>
              <w:rPr/>
            </w:pPr>
            <w:r>
              <w:rPr/>
              <w:t>91,300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vAlign w:val="center"/>
          </w:tcPr>
          <w:p>
            <w:pPr>
              <w:pStyle w:val="TableContents"/>
              <w:bidi w:val="0"/>
              <w:spacing w:before="0" w:after="283"/>
              <w:jc w:val="left"/>
              <w:rPr/>
            </w:pPr>
            <w:r>
              <w:rPr/>
              <w:t>$</w:t>
            </w:r>
          </w:p>
        </w:tc>
        <w:tc>
          <w:tcPr>
            <w:tcW w:w="781" w:type="dxa"/>
            <w:tcBorders>
              <w:bottom w:val="single" w:sz="2" w:space="0" w:color="000000"/>
            </w:tcBorders>
            <w:shd w:fill="CCEEFF" w:val="clear"/>
            <w:vAlign w:val="center"/>
          </w:tcPr>
          <w:p>
            <w:pPr>
              <w:pStyle w:val="TableContents"/>
              <w:bidi w:val="0"/>
              <w:spacing w:before="0" w:after="283"/>
              <w:jc w:val="right"/>
              <w:rPr/>
            </w:pPr>
            <w:r>
              <w:rPr/>
              <w:t>54.00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vAlign w:val="center"/>
          </w:tcPr>
          <w:p>
            <w:pPr>
              <w:pStyle w:val="TableContents"/>
              <w:bidi w:val="0"/>
              <w:spacing w:before="0" w:after="283"/>
              <w:jc w:val="left"/>
              <w:rPr/>
            </w:pPr>
            <w:r>
              <w:rPr/>
              <w:t>$</w:t>
            </w:r>
          </w:p>
        </w:tc>
        <w:tc>
          <w:tcPr>
            <w:tcW w:w="746" w:type="dxa"/>
            <w:tcBorders>
              <w:bottom w:val="single" w:sz="2" w:space="0" w:color="000000"/>
            </w:tcBorders>
            <w:shd w:fill="CCEEFF" w:val="clear"/>
            <w:vAlign w:val="center"/>
          </w:tcPr>
          <w:p>
            <w:pPr>
              <w:pStyle w:val="TableContents"/>
              <w:bidi w:val="0"/>
              <w:spacing w:before="0" w:after="283"/>
              <w:jc w:val="right"/>
              <w:rPr/>
            </w:pPr>
            <w:r>
              <w:rPr/>
              <w:t>62.50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CCEEFF" w:val="clear"/>
            <w:vAlign w:val="center"/>
          </w:tcPr>
          <w:p>
            <w:pPr>
              <w:pStyle w:val="TableContents"/>
              <w:bidi w:val="0"/>
              <w:spacing w:before="0" w:after="283"/>
              <w:jc w:val="left"/>
              <w:rPr/>
            </w:pPr>
            <w:r>
              <w:rPr/>
              <w:t>$</w:t>
            </w:r>
          </w:p>
        </w:tc>
        <w:tc>
          <w:tcPr>
            <w:tcW w:w="797" w:type="dxa"/>
            <w:tcBorders>
              <w:bottom w:val="single" w:sz="2" w:space="0" w:color="000000"/>
            </w:tcBorders>
            <w:shd w:fill="CCEEFF" w:val="clear"/>
            <w:vAlign w:val="center"/>
          </w:tcPr>
          <w:p>
            <w:pPr>
              <w:pStyle w:val="TableContents"/>
              <w:bidi w:val="0"/>
              <w:spacing w:before="0" w:after="283"/>
              <w:jc w:val="right"/>
              <w:rPr/>
            </w:pPr>
            <w:r>
              <w:rPr/>
              <w:t>80.00</w:t>
            </w:r>
          </w:p>
        </w:tc>
        <w:tc>
          <w:tcPr>
            <w:tcW w:w="151"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6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937" w:type="dxa"/>
            <w:tcBorders/>
            <w:shd w:fill="FFFFFF" w:val="clear"/>
            <w:tcMar>
              <w:bottom w:w="0" w:type="dxa"/>
            </w:tcMar>
            <w:vAlign w:val="center"/>
          </w:tcPr>
          <w:p>
            <w:pPr>
              <w:pStyle w:val="TableContents"/>
              <w:bidi w:val="0"/>
              <w:spacing w:before="0" w:after="283"/>
              <w:jc w:val="right"/>
              <w:rPr/>
            </w:pPr>
            <w:r>
              <w:rPr/>
              <w:t>27,400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w:t>
            </w:r>
          </w:p>
        </w:tc>
        <w:tc>
          <w:tcPr>
            <w:tcW w:w="730" w:type="dxa"/>
            <w:tcBorders/>
            <w:shd w:fill="FFFFFF" w:val="clear"/>
            <w:tcMar>
              <w:bottom w:w="0" w:type="dxa"/>
            </w:tcMar>
            <w:vAlign w:val="center"/>
          </w:tcPr>
          <w:p>
            <w:pPr>
              <w:pStyle w:val="TableContents"/>
              <w:bidi w:val="0"/>
              <w:spacing w:before="0" w:after="283"/>
              <w:jc w:val="right"/>
              <w:rPr/>
            </w:pPr>
            <w:r>
              <w:rPr/>
              <w:t>45.00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w:t>
            </w:r>
          </w:p>
        </w:tc>
        <w:tc>
          <w:tcPr>
            <w:tcW w:w="781" w:type="dxa"/>
            <w:tcBorders/>
            <w:shd w:fill="FFFFFF" w:val="clear"/>
            <w:tcMar>
              <w:bottom w:w="0" w:type="dxa"/>
            </w:tcMar>
            <w:vAlign w:val="center"/>
          </w:tcPr>
          <w:p>
            <w:pPr>
              <w:pStyle w:val="TableContents"/>
              <w:bidi w:val="0"/>
              <w:spacing w:before="0" w:after="283"/>
              <w:jc w:val="right"/>
              <w:rPr/>
            </w:pPr>
            <w:r>
              <w:rPr/>
              <w:t>55.00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746" w:type="dxa"/>
            <w:tcBorders/>
            <w:shd w:fill="FFFFFF" w:val="clear"/>
            <w:tcMar>
              <w:bottom w:w="0" w:type="dxa"/>
            </w:tcMar>
            <w:vAlign w:val="center"/>
          </w:tcPr>
          <w:p>
            <w:pPr>
              <w:pStyle w:val="TableContents"/>
              <w:bidi w:val="0"/>
              <w:spacing w:before="0" w:after="283"/>
              <w:jc w:val="right"/>
              <w:rPr/>
            </w:pPr>
            <w:r>
              <w:rPr/>
              <w:t>71.55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957" w:type="dxa"/>
            <w:tcBorders/>
            <w:shd w:fill="FFFFFF" w:val="clear"/>
            <w:tcMar>
              <w:bottom w:w="0" w:type="dxa"/>
            </w:tcMar>
            <w:vAlign w:val="center"/>
          </w:tcPr>
          <w:p>
            <w:pPr>
              <w:pStyle w:val="TableContents"/>
              <w:bidi w:val="0"/>
              <w:spacing w:before="0" w:after="283"/>
              <w:jc w:val="right"/>
              <w:rPr/>
            </w:pPr>
            <w:r>
              <w:rPr/>
              <w:t>127,700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w:t>
            </w:r>
          </w:p>
        </w:tc>
        <w:tc>
          <w:tcPr>
            <w:tcW w:w="781" w:type="dxa"/>
            <w:tcBorders/>
            <w:shd w:fill="FFFFFF" w:val="clear"/>
            <w:tcMar>
              <w:bottom w:w="0" w:type="dxa"/>
            </w:tcMar>
            <w:vAlign w:val="center"/>
          </w:tcPr>
          <w:p>
            <w:pPr>
              <w:pStyle w:val="TableContents"/>
              <w:bidi w:val="0"/>
              <w:spacing w:before="0" w:after="283"/>
              <w:jc w:val="right"/>
              <w:rPr/>
            </w:pPr>
            <w:r>
              <w:rPr/>
              <w:t>54.00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746" w:type="dxa"/>
            <w:tcBorders/>
            <w:shd w:fill="FFFFFF" w:val="clear"/>
            <w:tcMar>
              <w:bottom w:w="0" w:type="dxa"/>
            </w:tcMar>
            <w:vAlign w:val="center"/>
          </w:tcPr>
          <w:p>
            <w:pPr>
              <w:pStyle w:val="TableContents"/>
              <w:bidi w:val="0"/>
              <w:spacing w:before="0" w:after="283"/>
              <w:jc w:val="right"/>
              <w:rPr/>
            </w:pPr>
            <w:r>
              <w:rPr/>
              <w:t>62.50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w:t>
            </w:r>
          </w:p>
        </w:tc>
        <w:tc>
          <w:tcPr>
            <w:tcW w:w="797" w:type="dxa"/>
            <w:tcBorders/>
            <w:shd w:fill="FFFFFF" w:val="clear"/>
            <w:tcMar>
              <w:bottom w:w="0" w:type="dxa"/>
            </w:tcMar>
            <w:vAlign w:val="center"/>
          </w:tcPr>
          <w:p>
            <w:pPr>
              <w:pStyle w:val="TableContents"/>
              <w:bidi w:val="0"/>
              <w:spacing w:before="0" w:after="283"/>
              <w:jc w:val="right"/>
              <w:rPr/>
            </w:pPr>
            <w:r>
              <w:rPr/>
              <w:t>80.00</w:t>
            </w:r>
          </w:p>
        </w:tc>
        <w:tc>
          <w:tcPr>
            <w:tcW w:w="151"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6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26,200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w:t>
            </w:r>
          </w:p>
        </w:tc>
        <w:tc>
          <w:tcPr>
            <w:tcW w:w="730" w:type="dxa"/>
            <w:tcBorders/>
            <w:shd w:fill="CCEEFF" w:val="clear"/>
            <w:tcMar>
              <w:bottom w:w="0" w:type="dxa"/>
            </w:tcMar>
            <w:vAlign w:val="center"/>
          </w:tcPr>
          <w:p>
            <w:pPr>
              <w:pStyle w:val="TableContents"/>
              <w:bidi w:val="0"/>
              <w:spacing w:before="0" w:after="283"/>
              <w:jc w:val="right"/>
              <w:rPr/>
            </w:pPr>
            <w:r>
              <w:rPr/>
              <w:t>45.00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right"/>
              <w:rPr/>
            </w:pPr>
            <w:r>
              <w:rPr/>
              <w:t>55.00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746" w:type="dxa"/>
            <w:tcBorders/>
            <w:shd w:fill="CCEEFF" w:val="clear"/>
            <w:tcMar>
              <w:bottom w:w="0" w:type="dxa"/>
            </w:tcMar>
            <w:vAlign w:val="center"/>
          </w:tcPr>
          <w:p>
            <w:pPr>
              <w:pStyle w:val="TableContents"/>
              <w:bidi w:val="0"/>
              <w:spacing w:before="0" w:after="283"/>
              <w:jc w:val="right"/>
              <w:rPr/>
            </w:pPr>
            <w:r>
              <w:rPr/>
              <w:t>71.55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163,700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right"/>
              <w:rPr/>
            </w:pPr>
            <w:r>
              <w:rPr/>
              <w:t>54.00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746" w:type="dxa"/>
            <w:tcBorders/>
            <w:shd w:fill="CCEEFF" w:val="clear"/>
            <w:tcMar>
              <w:bottom w:w="0" w:type="dxa"/>
            </w:tcMar>
            <w:vAlign w:val="center"/>
          </w:tcPr>
          <w:p>
            <w:pPr>
              <w:pStyle w:val="TableContents"/>
              <w:bidi w:val="0"/>
              <w:spacing w:before="0" w:after="283"/>
              <w:jc w:val="right"/>
              <w:rPr/>
            </w:pPr>
            <w:r>
              <w:rPr/>
              <w:t>62.50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w:t>
            </w:r>
          </w:p>
        </w:tc>
        <w:tc>
          <w:tcPr>
            <w:tcW w:w="797" w:type="dxa"/>
            <w:tcBorders/>
            <w:shd w:fill="CCEEFF" w:val="clear"/>
            <w:tcMar>
              <w:bottom w:w="0" w:type="dxa"/>
            </w:tcMar>
            <w:vAlign w:val="center"/>
          </w:tcPr>
          <w:p>
            <w:pPr>
              <w:pStyle w:val="TableContents"/>
              <w:bidi w:val="0"/>
              <w:spacing w:before="0" w:after="283"/>
              <w:jc w:val="right"/>
              <w:rPr/>
            </w:pPr>
            <w:r>
              <w:rPr/>
              <w:t>80.00</w:t>
            </w:r>
          </w:p>
        </w:tc>
        <w:tc>
          <w:tcPr>
            <w:tcW w:w="151"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6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937" w:type="dxa"/>
            <w:tcBorders/>
            <w:shd w:fill="FFFFFF" w:val="clear"/>
            <w:tcMar>
              <w:bottom w:w="0" w:type="dxa"/>
            </w:tcMar>
            <w:vAlign w:val="center"/>
          </w:tcPr>
          <w:p>
            <w:pPr>
              <w:pStyle w:val="TableContents"/>
              <w:bidi w:val="0"/>
              <w:spacing w:before="0" w:after="283"/>
              <w:jc w:val="right"/>
              <w:rPr/>
            </w:pPr>
            <w:r>
              <w:rPr/>
              <w:t>25,200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w:t>
            </w:r>
          </w:p>
        </w:tc>
        <w:tc>
          <w:tcPr>
            <w:tcW w:w="730" w:type="dxa"/>
            <w:tcBorders/>
            <w:shd w:fill="FFFFFF" w:val="clear"/>
            <w:tcMar>
              <w:bottom w:w="0" w:type="dxa"/>
            </w:tcMar>
            <w:vAlign w:val="center"/>
          </w:tcPr>
          <w:p>
            <w:pPr>
              <w:pStyle w:val="TableContents"/>
              <w:bidi w:val="0"/>
              <w:spacing w:before="0" w:after="283"/>
              <w:jc w:val="right"/>
              <w:rPr/>
            </w:pPr>
            <w:r>
              <w:rPr/>
              <w:t>45.00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w:t>
            </w:r>
          </w:p>
        </w:tc>
        <w:tc>
          <w:tcPr>
            <w:tcW w:w="781" w:type="dxa"/>
            <w:tcBorders/>
            <w:shd w:fill="FFFFFF" w:val="clear"/>
            <w:tcMar>
              <w:bottom w:w="0" w:type="dxa"/>
            </w:tcMar>
            <w:vAlign w:val="center"/>
          </w:tcPr>
          <w:p>
            <w:pPr>
              <w:pStyle w:val="TableContents"/>
              <w:bidi w:val="0"/>
              <w:spacing w:before="0" w:after="283"/>
              <w:jc w:val="right"/>
              <w:rPr/>
            </w:pPr>
            <w:r>
              <w:rPr/>
              <w:t>55.00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746" w:type="dxa"/>
            <w:tcBorders/>
            <w:shd w:fill="FFFFFF" w:val="clear"/>
            <w:tcMar>
              <w:bottom w:w="0" w:type="dxa"/>
            </w:tcMar>
            <w:vAlign w:val="center"/>
          </w:tcPr>
          <w:p>
            <w:pPr>
              <w:pStyle w:val="TableContents"/>
              <w:bidi w:val="0"/>
              <w:spacing w:before="0" w:after="283"/>
              <w:jc w:val="right"/>
              <w:rPr/>
            </w:pPr>
            <w:r>
              <w:rPr/>
              <w:t>71.55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957" w:type="dxa"/>
            <w:tcBorders/>
            <w:shd w:fill="FFFFFF" w:val="clear"/>
            <w:tcMar>
              <w:bottom w:w="0" w:type="dxa"/>
            </w:tcMar>
            <w:vAlign w:val="center"/>
          </w:tcPr>
          <w:p>
            <w:pPr>
              <w:pStyle w:val="TableContents"/>
              <w:bidi w:val="0"/>
              <w:spacing w:before="0" w:after="283"/>
              <w:jc w:val="right"/>
              <w:rPr/>
            </w:pPr>
            <w:r>
              <w:rPr/>
              <w:t>163,300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w:t>
            </w:r>
          </w:p>
        </w:tc>
        <w:tc>
          <w:tcPr>
            <w:tcW w:w="781" w:type="dxa"/>
            <w:tcBorders/>
            <w:shd w:fill="FFFFFF" w:val="clear"/>
            <w:tcMar>
              <w:bottom w:w="0" w:type="dxa"/>
            </w:tcMar>
            <w:vAlign w:val="center"/>
          </w:tcPr>
          <w:p>
            <w:pPr>
              <w:pStyle w:val="TableContents"/>
              <w:bidi w:val="0"/>
              <w:spacing w:before="0" w:after="283"/>
              <w:jc w:val="right"/>
              <w:rPr/>
            </w:pPr>
            <w:r>
              <w:rPr/>
              <w:t>54.00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746" w:type="dxa"/>
            <w:tcBorders/>
            <w:shd w:fill="FFFFFF" w:val="clear"/>
            <w:tcMar>
              <w:bottom w:w="0" w:type="dxa"/>
            </w:tcMar>
            <w:vAlign w:val="center"/>
          </w:tcPr>
          <w:p>
            <w:pPr>
              <w:pStyle w:val="TableContents"/>
              <w:bidi w:val="0"/>
              <w:spacing w:before="0" w:after="283"/>
              <w:jc w:val="right"/>
              <w:rPr/>
            </w:pPr>
            <w:r>
              <w:rPr/>
              <w:t>62.50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w:t>
            </w:r>
          </w:p>
        </w:tc>
        <w:tc>
          <w:tcPr>
            <w:tcW w:w="797" w:type="dxa"/>
            <w:tcBorders/>
            <w:shd w:fill="FFFFFF" w:val="clear"/>
            <w:tcMar>
              <w:bottom w:w="0" w:type="dxa"/>
            </w:tcMar>
            <w:vAlign w:val="center"/>
          </w:tcPr>
          <w:p>
            <w:pPr>
              <w:pStyle w:val="TableContents"/>
              <w:bidi w:val="0"/>
              <w:spacing w:before="0" w:after="283"/>
              <w:jc w:val="right"/>
              <w:rPr/>
            </w:pPr>
            <w:r>
              <w:rPr/>
              <w:t>80.00</w:t>
            </w:r>
          </w:p>
        </w:tc>
        <w:tc>
          <w:tcPr>
            <w:tcW w:w="151"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6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vAlign w:val="center"/>
          </w:tcPr>
          <w:p>
            <w:pPr>
              <w:pStyle w:val="TableContents"/>
              <w:bidi w:val="0"/>
              <w:spacing w:before="0" w:after="283"/>
              <w:jc w:val="right"/>
              <w:rPr/>
            </w:pPr>
            <w:r>
              <w:rPr/>
              <w:t>24,200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CCEEFF" w:val="clear"/>
            <w:vAlign w:val="center"/>
          </w:tcPr>
          <w:p>
            <w:pPr>
              <w:pStyle w:val="TableContents"/>
              <w:bidi w:val="0"/>
              <w:spacing w:before="0" w:after="283"/>
              <w:jc w:val="left"/>
              <w:rPr/>
            </w:pPr>
            <w:r>
              <w:rPr/>
              <w:t>$</w:t>
            </w:r>
          </w:p>
        </w:tc>
        <w:tc>
          <w:tcPr>
            <w:tcW w:w="730" w:type="dxa"/>
            <w:tcBorders>
              <w:bottom w:val="single" w:sz="2" w:space="0" w:color="000000"/>
            </w:tcBorders>
            <w:shd w:fill="CCEEFF" w:val="clear"/>
            <w:vAlign w:val="center"/>
          </w:tcPr>
          <w:p>
            <w:pPr>
              <w:pStyle w:val="TableContents"/>
              <w:bidi w:val="0"/>
              <w:spacing w:before="0" w:after="283"/>
              <w:jc w:val="right"/>
              <w:rPr/>
            </w:pPr>
            <w:r>
              <w:rPr/>
              <w:t>45.00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vAlign w:val="center"/>
          </w:tcPr>
          <w:p>
            <w:pPr>
              <w:pStyle w:val="TableContents"/>
              <w:bidi w:val="0"/>
              <w:spacing w:before="0" w:after="283"/>
              <w:jc w:val="left"/>
              <w:rPr/>
            </w:pPr>
            <w:r>
              <w:rPr/>
              <w:t>$</w:t>
            </w:r>
          </w:p>
        </w:tc>
        <w:tc>
          <w:tcPr>
            <w:tcW w:w="781" w:type="dxa"/>
            <w:tcBorders>
              <w:bottom w:val="single" w:sz="2" w:space="0" w:color="000000"/>
            </w:tcBorders>
            <w:shd w:fill="CCEEFF" w:val="clear"/>
            <w:vAlign w:val="center"/>
          </w:tcPr>
          <w:p>
            <w:pPr>
              <w:pStyle w:val="TableContents"/>
              <w:bidi w:val="0"/>
              <w:spacing w:before="0" w:after="283"/>
              <w:jc w:val="right"/>
              <w:rPr/>
            </w:pPr>
            <w:r>
              <w:rPr/>
              <w:t>55.00</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vAlign w:val="center"/>
          </w:tcPr>
          <w:p>
            <w:pPr>
              <w:pStyle w:val="TableContents"/>
              <w:bidi w:val="0"/>
              <w:spacing w:before="0" w:after="283"/>
              <w:jc w:val="left"/>
              <w:rPr/>
            </w:pPr>
            <w:r>
              <w:rPr/>
              <w:t>$</w:t>
            </w:r>
          </w:p>
        </w:tc>
        <w:tc>
          <w:tcPr>
            <w:tcW w:w="746" w:type="dxa"/>
            <w:tcBorders>
              <w:bottom w:val="single" w:sz="2" w:space="0" w:color="000000"/>
            </w:tcBorders>
            <w:shd w:fill="CCEEFF" w:val="clear"/>
            <w:vAlign w:val="center"/>
          </w:tcPr>
          <w:p>
            <w:pPr>
              <w:pStyle w:val="TableContents"/>
              <w:bidi w:val="0"/>
              <w:spacing w:before="0" w:after="283"/>
              <w:jc w:val="right"/>
              <w:rPr/>
            </w:pPr>
            <w:r>
              <w:rPr/>
              <w:t>71.55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vAlign w:val="center"/>
          </w:tcPr>
          <w:p>
            <w:pPr>
              <w:pStyle w:val="TableContents"/>
              <w:bidi w:val="0"/>
              <w:spacing w:before="0" w:after="283"/>
              <w:jc w:val="right"/>
              <w:rPr/>
            </w:pPr>
            <w:r>
              <w:rPr/>
              <w:t>129,800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vAlign w:val="center"/>
          </w:tcPr>
          <w:p>
            <w:pPr>
              <w:pStyle w:val="TableContents"/>
              <w:bidi w:val="0"/>
              <w:spacing w:before="0" w:after="283"/>
              <w:jc w:val="left"/>
              <w:rPr/>
            </w:pPr>
            <w:r>
              <w:rPr/>
              <w:t>$</w:t>
            </w:r>
          </w:p>
        </w:tc>
        <w:tc>
          <w:tcPr>
            <w:tcW w:w="781" w:type="dxa"/>
            <w:tcBorders>
              <w:bottom w:val="single" w:sz="2" w:space="0" w:color="000000"/>
            </w:tcBorders>
            <w:shd w:fill="CCEEFF" w:val="clear"/>
            <w:vAlign w:val="center"/>
          </w:tcPr>
          <w:p>
            <w:pPr>
              <w:pStyle w:val="TableContents"/>
              <w:bidi w:val="0"/>
              <w:spacing w:before="0" w:after="283"/>
              <w:jc w:val="right"/>
              <w:rPr/>
            </w:pPr>
            <w:r>
              <w:rPr/>
              <w:t>54.00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vAlign w:val="center"/>
          </w:tcPr>
          <w:p>
            <w:pPr>
              <w:pStyle w:val="TableContents"/>
              <w:bidi w:val="0"/>
              <w:spacing w:before="0" w:after="283"/>
              <w:jc w:val="left"/>
              <w:rPr/>
            </w:pPr>
            <w:r>
              <w:rPr/>
              <w:t>$</w:t>
            </w:r>
          </w:p>
        </w:tc>
        <w:tc>
          <w:tcPr>
            <w:tcW w:w="746" w:type="dxa"/>
            <w:tcBorders>
              <w:bottom w:val="single" w:sz="2" w:space="0" w:color="000000"/>
            </w:tcBorders>
            <w:shd w:fill="CCEEFF" w:val="clear"/>
            <w:vAlign w:val="center"/>
          </w:tcPr>
          <w:p>
            <w:pPr>
              <w:pStyle w:val="TableContents"/>
              <w:bidi w:val="0"/>
              <w:spacing w:before="0" w:after="283"/>
              <w:jc w:val="right"/>
              <w:rPr/>
            </w:pPr>
            <w:r>
              <w:rPr/>
              <w:t>62.50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CCEEFF" w:val="clear"/>
            <w:vAlign w:val="center"/>
          </w:tcPr>
          <w:p>
            <w:pPr>
              <w:pStyle w:val="TableContents"/>
              <w:bidi w:val="0"/>
              <w:spacing w:before="0" w:after="283"/>
              <w:jc w:val="left"/>
              <w:rPr/>
            </w:pPr>
            <w:r>
              <w:rPr/>
              <w:t>$</w:t>
            </w:r>
          </w:p>
        </w:tc>
        <w:tc>
          <w:tcPr>
            <w:tcW w:w="797" w:type="dxa"/>
            <w:tcBorders>
              <w:bottom w:val="single" w:sz="2" w:space="0" w:color="000000"/>
            </w:tcBorders>
            <w:shd w:fill="CCEEFF" w:val="clear"/>
            <w:vAlign w:val="center"/>
          </w:tcPr>
          <w:p>
            <w:pPr>
              <w:pStyle w:val="TableContents"/>
              <w:bidi w:val="0"/>
              <w:spacing w:before="0" w:after="283"/>
              <w:jc w:val="right"/>
              <w:rPr/>
            </w:pPr>
            <w:r>
              <w:rPr/>
              <w:t>80.00</w:t>
            </w:r>
          </w:p>
        </w:tc>
        <w:tc>
          <w:tcPr>
            <w:tcW w:w="151"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67" w:type="dxa"/>
            <w:tcBorders/>
            <w:shd w:fill="FFFF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FFFFFF" w:val="clear"/>
            <w:vAlign w:val="center"/>
          </w:tcPr>
          <w:p>
            <w:pPr>
              <w:pStyle w:val="TableContents"/>
              <w:bidi w:val="0"/>
              <w:spacing w:before="0" w:after="283"/>
              <w:jc w:val="right"/>
              <w:rPr/>
            </w:pPr>
            <w:r>
              <w:rPr/>
              <w:t>103,000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FFFFFF" w:val="clear"/>
            <w:vAlign w:val="center"/>
          </w:tcPr>
          <w:p>
            <w:pPr>
              <w:pStyle w:val="TableContents"/>
              <w:bidi w:val="0"/>
              <w:spacing w:before="0" w:after="283"/>
              <w:jc w:val="left"/>
              <w:rPr/>
            </w:pPr>
            <w:r>
              <w:rPr/>
              <w:t>$</w:t>
            </w:r>
          </w:p>
        </w:tc>
        <w:tc>
          <w:tcPr>
            <w:tcW w:w="730" w:type="dxa"/>
            <w:tcBorders>
              <w:bottom w:val="single" w:sz="2" w:space="0" w:color="000000"/>
            </w:tcBorders>
            <w:shd w:fill="FFFFFF" w:val="clear"/>
            <w:vAlign w:val="center"/>
          </w:tcPr>
          <w:p>
            <w:pPr>
              <w:pStyle w:val="TableContents"/>
              <w:bidi w:val="0"/>
              <w:spacing w:before="0" w:after="283"/>
              <w:jc w:val="right"/>
              <w:rPr/>
            </w:pPr>
            <w:r>
              <w:rPr/>
              <w:t>45.00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283"/>
              <w:jc w:val="left"/>
              <w:rPr/>
            </w:pPr>
            <w:r>
              <w:rPr/>
              <w:t>$</w:t>
            </w:r>
          </w:p>
        </w:tc>
        <w:tc>
          <w:tcPr>
            <w:tcW w:w="781" w:type="dxa"/>
            <w:tcBorders>
              <w:bottom w:val="single" w:sz="2" w:space="0" w:color="000000"/>
            </w:tcBorders>
            <w:shd w:fill="FFFFFF" w:val="clear"/>
            <w:vAlign w:val="center"/>
          </w:tcPr>
          <w:p>
            <w:pPr>
              <w:pStyle w:val="TableContents"/>
              <w:bidi w:val="0"/>
              <w:spacing w:before="0" w:after="283"/>
              <w:jc w:val="right"/>
              <w:rPr/>
            </w:pPr>
            <w:r>
              <w:rPr/>
              <w:t>55.00</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FFFFFF" w:val="clear"/>
            <w:vAlign w:val="center"/>
          </w:tcPr>
          <w:p>
            <w:pPr>
              <w:pStyle w:val="TableContents"/>
              <w:bidi w:val="0"/>
              <w:spacing w:before="0" w:after="283"/>
              <w:jc w:val="left"/>
              <w:rPr/>
            </w:pPr>
            <w:r>
              <w:rPr/>
              <w:t>$</w:t>
            </w:r>
          </w:p>
        </w:tc>
        <w:tc>
          <w:tcPr>
            <w:tcW w:w="746" w:type="dxa"/>
            <w:tcBorders>
              <w:bottom w:val="single" w:sz="2" w:space="0" w:color="000000"/>
            </w:tcBorders>
            <w:shd w:fill="FFFFFF" w:val="clear"/>
            <w:vAlign w:val="center"/>
          </w:tcPr>
          <w:p>
            <w:pPr>
              <w:pStyle w:val="TableContents"/>
              <w:bidi w:val="0"/>
              <w:spacing w:before="0" w:after="283"/>
              <w:jc w:val="right"/>
              <w:rPr/>
            </w:pPr>
            <w:r>
              <w:rPr/>
              <w:t>71.55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FFFFFF" w:val="clear"/>
            <w:vAlign w:val="center"/>
          </w:tcPr>
          <w:p>
            <w:pPr>
              <w:pStyle w:val="TableContents"/>
              <w:bidi w:val="0"/>
              <w:spacing w:before="0" w:after="283"/>
              <w:jc w:val="right"/>
              <w:rPr/>
            </w:pPr>
            <w:r>
              <w:rPr/>
              <w:t>584,500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283"/>
              <w:jc w:val="left"/>
              <w:rPr/>
            </w:pPr>
            <w:r>
              <w:rPr/>
              <w:t>$</w:t>
            </w:r>
          </w:p>
        </w:tc>
        <w:tc>
          <w:tcPr>
            <w:tcW w:w="781" w:type="dxa"/>
            <w:tcBorders>
              <w:bottom w:val="single" w:sz="2" w:space="0" w:color="000000"/>
            </w:tcBorders>
            <w:shd w:fill="FFFFFF" w:val="clear"/>
            <w:vAlign w:val="center"/>
          </w:tcPr>
          <w:p>
            <w:pPr>
              <w:pStyle w:val="TableContents"/>
              <w:bidi w:val="0"/>
              <w:spacing w:before="0" w:after="283"/>
              <w:jc w:val="right"/>
              <w:rPr/>
            </w:pPr>
            <w:r>
              <w:rPr/>
              <w:t>54.00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FFFFFF" w:val="clear"/>
            <w:vAlign w:val="center"/>
          </w:tcPr>
          <w:p>
            <w:pPr>
              <w:pStyle w:val="TableContents"/>
              <w:bidi w:val="0"/>
              <w:spacing w:before="0" w:after="283"/>
              <w:jc w:val="left"/>
              <w:rPr/>
            </w:pPr>
            <w:r>
              <w:rPr/>
              <w:t>$</w:t>
            </w:r>
          </w:p>
        </w:tc>
        <w:tc>
          <w:tcPr>
            <w:tcW w:w="746" w:type="dxa"/>
            <w:tcBorders>
              <w:bottom w:val="single" w:sz="2" w:space="0" w:color="000000"/>
            </w:tcBorders>
            <w:shd w:fill="FFFFFF" w:val="clear"/>
            <w:vAlign w:val="center"/>
          </w:tcPr>
          <w:p>
            <w:pPr>
              <w:pStyle w:val="TableContents"/>
              <w:bidi w:val="0"/>
              <w:spacing w:before="0" w:after="283"/>
              <w:jc w:val="right"/>
              <w:rPr/>
            </w:pPr>
            <w:r>
              <w:rPr/>
              <w:t>62.50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FFFFFF" w:val="clear"/>
            <w:vAlign w:val="center"/>
          </w:tcPr>
          <w:p>
            <w:pPr>
              <w:pStyle w:val="TableContents"/>
              <w:bidi w:val="0"/>
              <w:spacing w:before="0" w:after="283"/>
              <w:jc w:val="left"/>
              <w:rPr/>
            </w:pPr>
            <w:r>
              <w:rPr/>
              <w:t>$</w:t>
            </w:r>
          </w:p>
        </w:tc>
        <w:tc>
          <w:tcPr>
            <w:tcW w:w="797" w:type="dxa"/>
            <w:tcBorders>
              <w:bottom w:val="single" w:sz="2" w:space="0" w:color="000000"/>
            </w:tcBorders>
            <w:shd w:fill="FFFFFF" w:val="clear"/>
            <w:vAlign w:val="center"/>
          </w:tcPr>
          <w:p>
            <w:pPr>
              <w:pStyle w:val="TableContents"/>
              <w:bidi w:val="0"/>
              <w:spacing w:before="0" w:after="283"/>
              <w:jc w:val="right"/>
              <w:rPr/>
            </w:pPr>
            <w:r>
              <w:rPr/>
              <w:t>80.00</w:t>
            </w:r>
          </w:p>
        </w:tc>
        <w:tc>
          <w:tcPr>
            <w:tcW w:w="151"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6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09" w:type="dxa"/>
            <w:tcBorders/>
            <w:shd w:fill="CCEEFF" w:val="clear"/>
            <w:tcMar>
              <w:bottom w:w="0" w:type="dxa"/>
            </w:tcMar>
            <w:vAlign w:val="center"/>
          </w:tcPr>
          <w:p>
            <w:pPr>
              <w:pStyle w:val="TableContents"/>
              <w:bidi w:val="0"/>
              <w:spacing w:before="0" w:after="0"/>
              <w:ind w:left="0" w:right="0" w:hanging="0"/>
              <w:jc w:val="left"/>
              <w:rPr/>
            </w:pPr>
            <w:r>
              <w:rPr/>
              <w:t> </w:t>
            </w:r>
          </w:p>
        </w:tc>
        <w:tc>
          <w:tcPr>
            <w:tcW w:w="730" w:type="dxa"/>
            <w:tcBorders/>
            <w:shd w:fill="CCEEFF" w:val="clear"/>
            <w:tcMar>
              <w:bottom w:w="0" w:type="dxa"/>
            </w:tcMar>
            <w:vAlign w:val="center"/>
          </w:tcPr>
          <w:p>
            <w:pPr>
              <w:pStyle w:val="TableContents"/>
              <w:bidi w:val="0"/>
              <w:spacing w:before="0" w:after="283"/>
              <w:jc w:val="right"/>
              <w:rPr/>
            </w:pPr>
            <w:r>
              <w:rPr/>
              <w:t>-</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shd w:fill="CCEEFF" w:val="clear"/>
            <w:tcMar>
              <w:bottom w:w="0" w:type="dxa"/>
            </w:tcMar>
            <w:vAlign w:val="center"/>
          </w:tcPr>
          <w:p>
            <w:pPr>
              <w:pStyle w:val="TableContents"/>
              <w:bidi w:val="0"/>
              <w:spacing w:before="0" w:after="0"/>
              <w:ind w:left="0" w:right="0" w:hanging="0"/>
              <w:jc w:val="left"/>
              <w:rPr/>
            </w:pPr>
            <w:r>
              <w:rPr/>
              <w:t> </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shd w:fill="CCEEFF" w:val="clear"/>
            <w:tcMar>
              <w:bottom w:w="0" w:type="dxa"/>
            </w:tcMar>
            <w:vAlign w:val="center"/>
          </w:tcPr>
          <w:p>
            <w:pPr>
              <w:pStyle w:val="TableContents"/>
              <w:bidi w:val="0"/>
              <w:spacing w:before="0" w:after="0"/>
              <w:ind w:left="0" w:right="0" w:hanging="0"/>
              <w:jc w:val="left"/>
              <w:rPr/>
            </w:pPr>
            <w:r>
              <w:rPr/>
              <w:t> </w:t>
            </w:r>
          </w:p>
        </w:tc>
        <w:tc>
          <w:tcPr>
            <w:tcW w:w="74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114,100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right"/>
              <w:rPr/>
            </w:pPr>
            <w:r>
              <w:rPr/>
              <w:t>54.00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746" w:type="dxa"/>
            <w:tcBorders/>
            <w:shd w:fill="CCEEFF" w:val="clear"/>
            <w:tcMar>
              <w:bottom w:w="0" w:type="dxa"/>
            </w:tcMar>
            <w:vAlign w:val="center"/>
          </w:tcPr>
          <w:p>
            <w:pPr>
              <w:pStyle w:val="TableContents"/>
              <w:bidi w:val="0"/>
              <w:spacing w:before="0" w:after="283"/>
              <w:jc w:val="right"/>
              <w:rPr/>
            </w:pPr>
            <w:r>
              <w:rPr/>
              <w:t>62.50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w:t>
            </w:r>
          </w:p>
        </w:tc>
        <w:tc>
          <w:tcPr>
            <w:tcW w:w="797" w:type="dxa"/>
            <w:tcBorders/>
            <w:shd w:fill="CCEEFF" w:val="clear"/>
            <w:tcMar>
              <w:bottom w:w="0" w:type="dxa"/>
            </w:tcMar>
            <w:vAlign w:val="center"/>
          </w:tcPr>
          <w:p>
            <w:pPr>
              <w:pStyle w:val="TableContents"/>
              <w:bidi w:val="0"/>
              <w:spacing w:before="0" w:after="283"/>
              <w:jc w:val="right"/>
              <w:rPr/>
            </w:pPr>
            <w:r>
              <w:rPr/>
              <w:t>80.00</w:t>
            </w:r>
          </w:p>
        </w:tc>
        <w:tc>
          <w:tcPr>
            <w:tcW w:w="151"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6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937" w:type="dxa"/>
            <w:tcBorders/>
            <w:shd w:fill="FFFFFF" w:val="clear"/>
            <w:tcMar>
              <w:bottom w:w="0" w:type="dxa"/>
            </w:tcMar>
            <w:vAlign w:val="center"/>
          </w:tcPr>
          <w:p>
            <w:pPr>
              <w:pStyle w:val="TableContents"/>
              <w:bidi w:val="0"/>
              <w:spacing w:before="0" w:after="283"/>
              <w:jc w:val="right"/>
              <w:rPr/>
            </w:pPr>
            <w:r>
              <w:rPr/>
              <w:t>-</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09" w:type="dxa"/>
            <w:tcBorders/>
            <w:shd w:fill="FFFFFF" w:val="clear"/>
            <w:tcMar>
              <w:bottom w:w="0" w:type="dxa"/>
            </w:tcMar>
            <w:vAlign w:val="center"/>
          </w:tcPr>
          <w:p>
            <w:pPr>
              <w:pStyle w:val="TableContents"/>
              <w:bidi w:val="0"/>
              <w:spacing w:before="0" w:after="0"/>
              <w:ind w:left="0" w:right="0" w:hanging="0"/>
              <w:jc w:val="left"/>
              <w:rPr/>
            </w:pPr>
            <w:r>
              <w:rPr/>
              <w:t> </w:t>
            </w:r>
          </w:p>
        </w:tc>
        <w:tc>
          <w:tcPr>
            <w:tcW w:w="730" w:type="dxa"/>
            <w:tcBorders/>
            <w:shd w:fill="FFFFFF" w:val="clear"/>
            <w:tcMar>
              <w:bottom w:w="0" w:type="dxa"/>
            </w:tcMar>
            <w:vAlign w:val="center"/>
          </w:tcPr>
          <w:p>
            <w:pPr>
              <w:pStyle w:val="TableContents"/>
              <w:bidi w:val="0"/>
              <w:spacing w:before="0" w:after="283"/>
              <w:jc w:val="right"/>
              <w:rPr/>
            </w:pPr>
            <w:r>
              <w:rPr/>
              <w:t>-</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shd w:fill="FFFFFF" w:val="clear"/>
            <w:tcMar>
              <w:bottom w:w="0" w:type="dxa"/>
            </w:tcMar>
            <w:vAlign w:val="center"/>
          </w:tcPr>
          <w:p>
            <w:pPr>
              <w:pStyle w:val="TableContents"/>
              <w:bidi w:val="0"/>
              <w:spacing w:before="0" w:after="0"/>
              <w:ind w:left="0" w:right="0" w:hanging="0"/>
              <w:jc w:val="left"/>
              <w:rPr/>
            </w:pPr>
            <w:r>
              <w:rPr/>
              <w:t> </w:t>
            </w:r>
          </w:p>
        </w:tc>
        <w:tc>
          <w:tcPr>
            <w:tcW w:w="781" w:type="dxa"/>
            <w:tcBorders/>
            <w:shd w:fill="FFFFFF" w:val="clear"/>
            <w:tcMar>
              <w:bottom w:w="0" w:type="dxa"/>
            </w:tcMar>
            <w:vAlign w:val="center"/>
          </w:tcPr>
          <w:p>
            <w:pPr>
              <w:pStyle w:val="TableContents"/>
              <w:bidi w:val="0"/>
              <w:spacing w:before="0" w:after="283"/>
              <w:jc w:val="right"/>
              <w:rPr/>
            </w:pPr>
            <w:r>
              <w:rPr/>
              <w:t>-</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4" w:type="dxa"/>
            <w:tcBorders/>
            <w:shd w:fill="FFFFFF" w:val="clear"/>
            <w:tcMar>
              <w:bottom w:w="0" w:type="dxa"/>
            </w:tcMar>
            <w:vAlign w:val="center"/>
          </w:tcPr>
          <w:p>
            <w:pPr>
              <w:pStyle w:val="TableContents"/>
              <w:bidi w:val="0"/>
              <w:spacing w:before="0" w:after="0"/>
              <w:ind w:left="0" w:right="0" w:hanging="0"/>
              <w:jc w:val="left"/>
              <w:rPr/>
            </w:pPr>
            <w:r>
              <w:rPr/>
              <w:t> </w:t>
            </w:r>
          </w:p>
        </w:tc>
        <w:tc>
          <w:tcPr>
            <w:tcW w:w="746"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957" w:type="dxa"/>
            <w:tcBorders/>
            <w:shd w:fill="FFFFFF" w:val="clear"/>
            <w:tcMar>
              <w:bottom w:w="0" w:type="dxa"/>
            </w:tcMar>
            <w:vAlign w:val="center"/>
          </w:tcPr>
          <w:p>
            <w:pPr>
              <w:pStyle w:val="TableContents"/>
              <w:bidi w:val="0"/>
              <w:spacing w:before="0" w:after="283"/>
              <w:jc w:val="right"/>
              <w:rPr/>
            </w:pPr>
            <w:r>
              <w:rPr/>
              <w:t>128,000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w:t>
            </w:r>
          </w:p>
        </w:tc>
        <w:tc>
          <w:tcPr>
            <w:tcW w:w="781" w:type="dxa"/>
            <w:tcBorders/>
            <w:shd w:fill="FFFFFF" w:val="clear"/>
            <w:tcMar>
              <w:bottom w:w="0" w:type="dxa"/>
            </w:tcMar>
            <w:vAlign w:val="center"/>
          </w:tcPr>
          <w:p>
            <w:pPr>
              <w:pStyle w:val="TableContents"/>
              <w:bidi w:val="0"/>
              <w:spacing w:before="0" w:after="283"/>
              <w:jc w:val="right"/>
              <w:rPr/>
            </w:pPr>
            <w:r>
              <w:rPr/>
              <w:t>54.00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746" w:type="dxa"/>
            <w:tcBorders/>
            <w:shd w:fill="FFFFFF" w:val="clear"/>
            <w:tcMar>
              <w:bottom w:w="0" w:type="dxa"/>
            </w:tcMar>
            <w:vAlign w:val="center"/>
          </w:tcPr>
          <w:p>
            <w:pPr>
              <w:pStyle w:val="TableContents"/>
              <w:bidi w:val="0"/>
              <w:spacing w:before="0" w:after="283"/>
              <w:jc w:val="right"/>
              <w:rPr/>
            </w:pPr>
            <w:r>
              <w:rPr/>
              <w:t>62.50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w:t>
            </w:r>
          </w:p>
        </w:tc>
        <w:tc>
          <w:tcPr>
            <w:tcW w:w="797" w:type="dxa"/>
            <w:tcBorders/>
            <w:shd w:fill="FFFFFF" w:val="clear"/>
            <w:tcMar>
              <w:bottom w:w="0" w:type="dxa"/>
            </w:tcMar>
            <w:vAlign w:val="center"/>
          </w:tcPr>
          <w:p>
            <w:pPr>
              <w:pStyle w:val="TableContents"/>
              <w:bidi w:val="0"/>
              <w:spacing w:before="0" w:after="283"/>
              <w:jc w:val="right"/>
              <w:rPr/>
            </w:pPr>
            <w:r>
              <w:rPr/>
              <w:t>80.00</w:t>
            </w:r>
          </w:p>
        </w:tc>
        <w:tc>
          <w:tcPr>
            <w:tcW w:w="151"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6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09" w:type="dxa"/>
            <w:tcBorders/>
            <w:shd w:fill="CCEEFF" w:val="clear"/>
            <w:tcMar>
              <w:bottom w:w="0" w:type="dxa"/>
            </w:tcMar>
            <w:vAlign w:val="center"/>
          </w:tcPr>
          <w:p>
            <w:pPr>
              <w:pStyle w:val="TableContents"/>
              <w:bidi w:val="0"/>
              <w:spacing w:before="0" w:after="0"/>
              <w:ind w:left="0" w:right="0" w:hanging="0"/>
              <w:jc w:val="left"/>
              <w:rPr/>
            </w:pPr>
            <w:r>
              <w:rPr/>
              <w:t> </w:t>
            </w:r>
          </w:p>
        </w:tc>
        <w:tc>
          <w:tcPr>
            <w:tcW w:w="730" w:type="dxa"/>
            <w:tcBorders/>
            <w:shd w:fill="CCEEFF" w:val="clear"/>
            <w:tcMar>
              <w:bottom w:w="0" w:type="dxa"/>
            </w:tcMar>
            <w:vAlign w:val="center"/>
          </w:tcPr>
          <w:p>
            <w:pPr>
              <w:pStyle w:val="TableContents"/>
              <w:bidi w:val="0"/>
              <w:spacing w:before="0" w:after="283"/>
              <w:jc w:val="right"/>
              <w:rPr/>
            </w:pPr>
            <w:r>
              <w:rPr/>
              <w:t>-</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shd w:fill="CCEEFF" w:val="clear"/>
            <w:tcMar>
              <w:bottom w:w="0" w:type="dxa"/>
            </w:tcMar>
            <w:vAlign w:val="center"/>
          </w:tcPr>
          <w:p>
            <w:pPr>
              <w:pStyle w:val="TableContents"/>
              <w:bidi w:val="0"/>
              <w:spacing w:before="0" w:after="0"/>
              <w:ind w:left="0" w:right="0" w:hanging="0"/>
              <w:jc w:val="left"/>
              <w:rPr/>
            </w:pPr>
            <w:r>
              <w:rPr/>
              <w:t> </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shd w:fill="CCEEFF" w:val="clear"/>
            <w:tcMar>
              <w:bottom w:w="0" w:type="dxa"/>
            </w:tcMar>
            <w:vAlign w:val="center"/>
          </w:tcPr>
          <w:p>
            <w:pPr>
              <w:pStyle w:val="TableContents"/>
              <w:bidi w:val="0"/>
              <w:spacing w:before="0" w:after="0"/>
              <w:ind w:left="0" w:right="0" w:hanging="0"/>
              <w:jc w:val="left"/>
              <w:rPr/>
            </w:pPr>
            <w:r>
              <w:rPr/>
              <w:t> </w:t>
            </w:r>
          </w:p>
        </w:tc>
        <w:tc>
          <w:tcPr>
            <w:tcW w:w="74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123,000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781" w:type="dxa"/>
            <w:tcBorders/>
            <w:shd w:fill="CCEEFF" w:val="clear"/>
            <w:tcMar>
              <w:bottom w:w="0" w:type="dxa"/>
            </w:tcMar>
            <w:vAlign w:val="center"/>
          </w:tcPr>
          <w:p>
            <w:pPr>
              <w:pStyle w:val="TableContents"/>
              <w:bidi w:val="0"/>
              <w:spacing w:before="0" w:after="283"/>
              <w:jc w:val="right"/>
              <w:rPr/>
            </w:pPr>
            <w:r>
              <w:rPr/>
              <w:t>54.00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746" w:type="dxa"/>
            <w:tcBorders/>
            <w:shd w:fill="CCEEFF" w:val="clear"/>
            <w:tcMar>
              <w:bottom w:w="0" w:type="dxa"/>
            </w:tcMar>
            <w:vAlign w:val="center"/>
          </w:tcPr>
          <w:p>
            <w:pPr>
              <w:pStyle w:val="TableContents"/>
              <w:bidi w:val="0"/>
              <w:spacing w:before="0" w:after="283"/>
              <w:jc w:val="right"/>
              <w:rPr/>
            </w:pPr>
            <w:r>
              <w:rPr/>
              <w:t>62.50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w:t>
            </w:r>
          </w:p>
        </w:tc>
        <w:tc>
          <w:tcPr>
            <w:tcW w:w="797" w:type="dxa"/>
            <w:tcBorders/>
            <w:shd w:fill="CCEEFF" w:val="clear"/>
            <w:tcMar>
              <w:bottom w:w="0" w:type="dxa"/>
            </w:tcMar>
            <w:vAlign w:val="center"/>
          </w:tcPr>
          <w:p>
            <w:pPr>
              <w:pStyle w:val="TableContents"/>
              <w:bidi w:val="0"/>
              <w:spacing w:before="0" w:after="283"/>
              <w:jc w:val="right"/>
              <w:rPr/>
            </w:pPr>
            <w:r>
              <w:rPr/>
              <w:t>80.00</w:t>
            </w:r>
          </w:p>
        </w:tc>
        <w:tc>
          <w:tcPr>
            <w:tcW w:w="151"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56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FFFFFF" w:val="clear"/>
            <w:vAlign w:val="center"/>
          </w:tcPr>
          <w:p>
            <w:pPr>
              <w:pStyle w:val="TableContents"/>
              <w:bidi w:val="0"/>
              <w:spacing w:before="0" w:after="283"/>
              <w:jc w:val="right"/>
              <w:rPr/>
            </w:pPr>
            <w:r>
              <w:rPr/>
              <w:t>-</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30" w:type="dxa"/>
            <w:tcBorders>
              <w:bottom w:val="single" w:sz="2" w:space="0" w:color="000000"/>
            </w:tcBorders>
            <w:shd w:fill="FFFFFF" w:val="clear"/>
            <w:vAlign w:val="center"/>
          </w:tcPr>
          <w:p>
            <w:pPr>
              <w:pStyle w:val="TableContents"/>
              <w:bidi w:val="0"/>
              <w:spacing w:before="0" w:after="283"/>
              <w:jc w:val="right"/>
              <w:rPr/>
            </w:pPr>
            <w:r>
              <w:rPr/>
              <w:t>-</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FFFFFF" w:val="clear"/>
            <w:vAlign w:val="center"/>
          </w:tcPr>
          <w:p>
            <w:pPr>
              <w:pStyle w:val="TableContents"/>
              <w:bidi w:val="0"/>
              <w:spacing w:before="0" w:after="283"/>
              <w:jc w:val="right"/>
              <w:rPr/>
            </w:pPr>
            <w:r>
              <w:rPr/>
              <w:t>-</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101" w:type="dxa"/>
            <w:tcBorders/>
            <w:shd w:fill="FFFFFF" w:val="clear"/>
            <w:tcMar>
              <w:bottom w:w="0" w:type="dxa"/>
            </w:tcM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FFFFFF" w:val="clear"/>
            <w:vAlign w:val="center"/>
          </w:tcPr>
          <w:p>
            <w:pPr>
              <w:pStyle w:val="TableContents"/>
              <w:bidi w:val="0"/>
              <w:spacing w:before="0" w:after="283"/>
              <w:jc w:val="right"/>
              <w:rPr/>
            </w:pPr>
            <w:r>
              <w:rPr/>
              <w:t>39,100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FFFFFF" w:val="clear"/>
            <w:vAlign w:val="center"/>
          </w:tcPr>
          <w:p>
            <w:pPr>
              <w:pStyle w:val="TableContents"/>
              <w:bidi w:val="0"/>
              <w:spacing w:before="0" w:after="283"/>
              <w:jc w:val="left"/>
              <w:rPr/>
            </w:pPr>
            <w:r>
              <w:rPr/>
              <w:t>$</w:t>
            </w:r>
          </w:p>
        </w:tc>
        <w:tc>
          <w:tcPr>
            <w:tcW w:w="781" w:type="dxa"/>
            <w:tcBorders>
              <w:bottom w:val="single" w:sz="2" w:space="0" w:color="000000"/>
            </w:tcBorders>
            <w:shd w:fill="FFFFFF" w:val="clear"/>
            <w:vAlign w:val="center"/>
          </w:tcPr>
          <w:p>
            <w:pPr>
              <w:pStyle w:val="TableContents"/>
              <w:bidi w:val="0"/>
              <w:spacing w:before="0" w:after="283"/>
              <w:jc w:val="right"/>
              <w:rPr/>
            </w:pPr>
            <w:r>
              <w:rPr/>
              <w:t>54.00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FFFFFF" w:val="clear"/>
            <w:vAlign w:val="center"/>
          </w:tcPr>
          <w:p>
            <w:pPr>
              <w:pStyle w:val="TableContents"/>
              <w:bidi w:val="0"/>
              <w:spacing w:before="0" w:after="283"/>
              <w:jc w:val="left"/>
              <w:rPr/>
            </w:pPr>
            <w:r>
              <w:rPr/>
              <w:t>$</w:t>
            </w:r>
          </w:p>
        </w:tc>
        <w:tc>
          <w:tcPr>
            <w:tcW w:w="746" w:type="dxa"/>
            <w:tcBorders>
              <w:bottom w:val="single" w:sz="2" w:space="0" w:color="000000"/>
            </w:tcBorders>
            <w:shd w:fill="FFFFFF" w:val="clear"/>
            <w:vAlign w:val="center"/>
          </w:tcPr>
          <w:p>
            <w:pPr>
              <w:pStyle w:val="TableContents"/>
              <w:bidi w:val="0"/>
              <w:spacing w:before="0" w:after="283"/>
              <w:jc w:val="right"/>
              <w:rPr/>
            </w:pPr>
            <w:r>
              <w:rPr/>
              <w:t>62.50</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FFFFFF" w:val="clear"/>
            <w:vAlign w:val="center"/>
          </w:tcPr>
          <w:p>
            <w:pPr>
              <w:pStyle w:val="TableContents"/>
              <w:bidi w:val="0"/>
              <w:spacing w:before="0" w:after="283"/>
              <w:jc w:val="left"/>
              <w:rPr/>
            </w:pPr>
            <w:r>
              <w:rPr/>
              <w:t>$</w:t>
            </w:r>
          </w:p>
        </w:tc>
        <w:tc>
          <w:tcPr>
            <w:tcW w:w="797" w:type="dxa"/>
            <w:tcBorders>
              <w:bottom w:val="single" w:sz="2" w:space="0" w:color="000000"/>
            </w:tcBorders>
            <w:shd w:fill="FFFFFF" w:val="clear"/>
            <w:vAlign w:val="center"/>
          </w:tcPr>
          <w:p>
            <w:pPr>
              <w:pStyle w:val="TableContents"/>
              <w:bidi w:val="0"/>
              <w:spacing w:before="0" w:after="283"/>
              <w:jc w:val="right"/>
              <w:rPr/>
            </w:pPr>
            <w:r>
              <w:rPr/>
              <w:t>80.00</w:t>
            </w:r>
          </w:p>
        </w:tc>
        <w:tc>
          <w:tcPr>
            <w:tcW w:w="151"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567"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vAlign w:val="center"/>
          </w:tcPr>
          <w:p>
            <w:pPr>
              <w:pStyle w:val="TableContents"/>
              <w:bidi w:val="0"/>
              <w:spacing w:before="0" w:after="283"/>
              <w:jc w:val="right"/>
              <w:rPr/>
            </w:pPr>
            <w:r>
              <w:rPr>
                <w:rStyle w:val="StrongEmphasis"/>
              </w:rPr>
              <w:t>-</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30" w:type="dxa"/>
            <w:tcBorders>
              <w:bottom w:val="single" w:sz="2" w:space="0" w:color="000000"/>
            </w:tcBorders>
            <w:shd w:fill="CCEEFF" w:val="clear"/>
            <w:vAlign w:val="center"/>
          </w:tcPr>
          <w:p>
            <w:pPr>
              <w:pStyle w:val="TableContents"/>
              <w:bidi w:val="0"/>
              <w:spacing w:before="0" w:after="283"/>
              <w:jc w:val="right"/>
              <w:rPr/>
            </w:pPr>
            <w:r>
              <w:rPr>
                <w:rStyle w:val="StrongEmphasis"/>
              </w:rPr>
              <w:t>-</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vAlign w:val="center"/>
          </w:tcPr>
          <w:p>
            <w:pPr>
              <w:pStyle w:val="TableContents"/>
              <w:bidi w:val="0"/>
              <w:spacing w:before="0" w:after="283"/>
              <w:jc w:val="right"/>
              <w:rPr/>
            </w:pPr>
            <w:r>
              <w:rPr>
                <w:rStyle w:val="StrongEmphasis"/>
              </w:rPr>
              <w:t>-</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101"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vAlign w:val="center"/>
          </w:tcPr>
          <w:p>
            <w:pPr>
              <w:pStyle w:val="TableContents"/>
              <w:bidi w:val="0"/>
              <w:spacing w:before="0" w:after="283"/>
              <w:jc w:val="right"/>
              <w:rPr/>
            </w:pPr>
            <w:r>
              <w:rPr>
                <w:rStyle w:val="StrongEmphasis"/>
              </w:rPr>
              <w:t>404,200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781" w:type="dxa"/>
            <w:tcBorders>
              <w:bottom w:val="single" w:sz="2" w:space="0" w:color="000000"/>
            </w:tcBorders>
            <w:shd w:fill="CCEEFF" w:val="clear"/>
            <w:vAlign w:val="center"/>
          </w:tcPr>
          <w:p>
            <w:pPr>
              <w:pStyle w:val="TableContents"/>
              <w:bidi w:val="0"/>
              <w:spacing w:before="0" w:after="283"/>
              <w:jc w:val="right"/>
              <w:rPr/>
            </w:pPr>
            <w:r>
              <w:rPr>
                <w:rStyle w:val="StrongEmphasis"/>
              </w:rPr>
              <w:t>54.00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746" w:type="dxa"/>
            <w:tcBorders>
              <w:bottom w:val="single" w:sz="2" w:space="0" w:color="000000"/>
            </w:tcBorders>
            <w:shd w:fill="CCEEFF" w:val="clear"/>
            <w:vAlign w:val="center"/>
          </w:tcPr>
          <w:p>
            <w:pPr>
              <w:pStyle w:val="TableContents"/>
              <w:bidi w:val="0"/>
              <w:spacing w:before="0" w:after="283"/>
              <w:jc w:val="right"/>
              <w:rPr/>
            </w:pPr>
            <w:r>
              <w:rPr>
                <w:rStyle w:val="StrongEmphasis"/>
              </w:rPr>
              <w:t>62.50</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103" w:type="dxa"/>
            <w:tcBorders/>
            <w:shd w:fill="CCEEFF" w:val="clear"/>
            <w:tcMar>
              <w:bottom w:w="0" w:type="dxa"/>
            </w:tcM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797" w:type="dxa"/>
            <w:tcBorders>
              <w:bottom w:val="single" w:sz="2" w:space="0" w:color="000000"/>
            </w:tcBorders>
            <w:shd w:fill="CCEEFF" w:val="clear"/>
            <w:vAlign w:val="center"/>
          </w:tcPr>
          <w:p>
            <w:pPr>
              <w:pStyle w:val="TableContents"/>
              <w:bidi w:val="0"/>
              <w:spacing w:before="0" w:after="283"/>
              <w:jc w:val="right"/>
              <w:rPr/>
            </w:pPr>
            <w:r>
              <w:rPr>
                <w:rStyle w:val="StrongEmphasis"/>
              </w:rPr>
              <w:t>80.00</w:t>
            </w:r>
          </w:p>
        </w:tc>
        <w:tc>
          <w:tcPr>
            <w:tcW w:w="151"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right"/>
              <w:rPr/>
            </w:pPr>
            <w:r>
              <w:rPr/>
              <w:t>11</w:t>
            </w:r>
          </w:p>
        </w:tc>
      </w:tr>
      <w:tr>
        <w:trPr/>
        <w:tc>
          <w:tcPr>
            <w:tcW w:w="35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655" w:type="dxa"/>
        <w:jc w:val="left"/>
        <w:tblInd w:w="0" w:type="dxa"/>
        <w:tblLayout w:type="fixed"/>
        <w:tblCellMar>
          <w:top w:w="0" w:type="dxa"/>
          <w:left w:w="0" w:type="dxa"/>
          <w:bottom w:w="0" w:type="dxa"/>
          <w:right w:w="0" w:type="dxa"/>
        </w:tblCellMar>
      </w:tblPr>
      <w:tblGrid>
        <w:gridCol w:w="2655"/>
      </w:tblGrid>
      <w:tr>
        <w:trPr/>
        <w:tc>
          <w:tcPr>
            <w:tcW w:w="2655" w:type="dxa"/>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628775" cy="333375"/>
                          </a:xfrm>
                          <a:prstGeom prst="rect">
                            <a:avLst/>
                          </a:prstGeom>
                        </pic:spPr>
                      </pic:pic>
                    </a:graphicData>
                  </a:graphic>
                </wp:inline>
              </w:drawing>
            </w:r>
          </w:p>
        </w:tc>
      </w:tr>
      <w:tr>
        <w:trPr/>
        <w:tc>
          <w:tcPr>
            <w:tcW w:w="2655" w:type="dxa"/>
            <w:tcBorders>
              <w:bottom w:val="single" w:sz="2" w:space="0" w:color="F07D2D"/>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9235" w:type="dxa"/>
        <w:jc w:val="left"/>
        <w:tblInd w:w="0" w:type="dxa"/>
        <w:tblLayout w:type="fixed"/>
        <w:tblCellMar>
          <w:top w:w="0" w:type="dxa"/>
          <w:left w:w="0" w:type="dxa"/>
          <w:bottom w:w="28" w:type="dxa"/>
          <w:right w:w="0" w:type="dxa"/>
        </w:tblCellMar>
      </w:tblPr>
      <w:tblGrid>
        <w:gridCol w:w="785"/>
        <w:gridCol w:w="90"/>
        <w:gridCol w:w="117"/>
        <w:gridCol w:w="1087"/>
        <w:gridCol w:w="90"/>
        <w:gridCol w:w="90"/>
        <w:gridCol w:w="356"/>
        <w:gridCol w:w="1238"/>
        <w:gridCol w:w="90"/>
        <w:gridCol w:w="90"/>
        <w:gridCol w:w="117"/>
        <w:gridCol w:w="1087"/>
        <w:gridCol w:w="90"/>
        <w:gridCol w:w="90"/>
        <w:gridCol w:w="376"/>
        <w:gridCol w:w="1308"/>
        <w:gridCol w:w="90"/>
        <w:gridCol w:w="90"/>
        <w:gridCol w:w="407"/>
        <w:gridCol w:w="1412"/>
        <w:gridCol w:w="135"/>
      </w:tblGrid>
      <w:tr>
        <w:trPr/>
        <w:tc>
          <w:tcPr>
            <w:tcW w:w="9235" w:type="dxa"/>
            <w:gridSpan w:val="21"/>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Crude Oil - Swaps and Costless Collars</w:t>
            </w:r>
          </w:p>
        </w:tc>
      </w:tr>
      <w:tr>
        <w:trPr/>
        <w:tc>
          <w:tcPr>
            <w:tcW w:w="78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978" w:type="dxa"/>
            <w:gridSpan w:val="6"/>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Swaps</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5067" w:type="dxa"/>
            <w:gridSpan w:val="10"/>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Costless Collars</w:t>
            </w:r>
          </w:p>
        </w:tc>
        <w:tc>
          <w:tcPr>
            <w:tcW w:w="135" w:type="dxa"/>
            <w:tcBorders/>
            <w:tcMar>
              <w:bottom w:w="0" w:type="dxa"/>
            </w:tcMar>
            <w:vAlign w:val="center"/>
          </w:tcPr>
          <w:p>
            <w:pPr>
              <w:pStyle w:val="TableContents"/>
              <w:bidi w:val="0"/>
              <w:spacing w:before="0" w:after="0"/>
              <w:ind w:left="0" w:right="0" w:hanging="0"/>
              <w:jc w:val="left"/>
              <w:rPr/>
            </w:pPr>
            <w:r>
              <w:rPr>
                <w:rStyle w:val="StrongEmphasis"/>
              </w:rPr>
              <w:t> </w:t>
            </w:r>
          </w:p>
        </w:tc>
      </w:tr>
      <w:tr>
        <w:trPr/>
        <w:tc>
          <w:tcPr>
            <w:tcW w:w="78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Date</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20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Volume (Boe)</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Avg. Price ($/Boe)</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20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Volume (Boe)</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68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Floor Price ($/Boe)</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81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Ceiling Price ($/Boe)</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180,000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69.09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71,170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76" w:type="dxa"/>
            <w:tcBorders/>
            <w:shd w:fill="CCEEFF" w:val="clear"/>
            <w:tcMar>
              <w:bottom w:w="0" w:type="dxa"/>
            </w:tcMar>
            <w:vAlign w:val="center"/>
          </w:tcPr>
          <w:p>
            <w:pPr>
              <w:pStyle w:val="TableContents"/>
              <w:bidi w:val="0"/>
              <w:spacing w:before="0" w:after="283"/>
              <w:jc w:val="left"/>
              <w:rPr/>
            </w:pPr>
            <w:r>
              <w:rPr/>
              <w:t>$</w:t>
            </w:r>
          </w:p>
        </w:tc>
        <w:tc>
          <w:tcPr>
            <w:tcW w:w="1308" w:type="dxa"/>
            <w:tcBorders/>
            <w:shd w:fill="CCEEFF" w:val="clear"/>
            <w:tcMar>
              <w:bottom w:w="0" w:type="dxa"/>
            </w:tcMar>
            <w:vAlign w:val="center"/>
          </w:tcPr>
          <w:p>
            <w:pPr>
              <w:pStyle w:val="TableContents"/>
              <w:bidi w:val="0"/>
              <w:spacing w:before="0" w:after="283"/>
              <w:jc w:val="right"/>
              <w:rPr/>
            </w:pPr>
            <w:r>
              <w:rPr/>
              <w:t>54.87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7" w:type="dxa"/>
            <w:tcBorders/>
            <w:shd w:fill="CCEEFF" w:val="clear"/>
            <w:tcMar>
              <w:bottom w:w="0" w:type="dxa"/>
            </w:tcMar>
            <w:vAlign w:val="center"/>
          </w:tcPr>
          <w:p>
            <w:pPr>
              <w:pStyle w:val="TableContents"/>
              <w:bidi w:val="0"/>
              <w:spacing w:before="0" w:after="283"/>
              <w:jc w:val="left"/>
              <w:rPr/>
            </w:pPr>
            <w:r>
              <w:rPr/>
              <w:t>$</w:t>
            </w:r>
          </w:p>
        </w:tc>
        <w:tc>
          <w:tcPr>
            <w:tcW w:w="1412" w:type="dxa"/>
            <w:tcBorders/>
            <w:shd w:fill="CCEEFF" w:val="clear"/>
            <w:tcMar>
              <w:bottom w:w="0" w:type="dxa"/>
            </w:tcMar>
            <w:vAlign w:val="center"/>
          </w:tcPr>
          <w:p>
            <w:pPr>
              <w:pStyle w:val="TableContents"/>
              <w:bidi w:val="0"/>
              <w:spacing w:before="0" w:after="283"/>
              <w:jc w:val="right"/>
              <w:rPr/>
            </w:pPr>
            <w:r>
              <w:rPr/>
              <w:t>70.24</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vAlign w:val="center"/>
          </w:tcPr>
          <w:p>
            <w:pPr>
              <w:pStyle w:val="TableContents"/>
              <w:bidi w:val="0"/>
              <w:spacing w:before="0" w:after="283"/>
              <w:jc w:val="right"/>
              <w:rPr/>
            </w:pPr>
            <w:r>
              <w:rPr/>
              <w:t>105,000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FFFFFF" w:val="clear"/>
            <w:vAlign w:val="center"/>
          </w:tcPr>
          <w:p>
            <w:pPr>
              <w:pStyle w:val="TableContents"/>
              <w:bidi w:val="0"/>
              <w:spacing w:before="0" w:after="283"/>
              <w:jc w:val="left"/>
              <w:rPr/>
            </w:pPr>
            <w:r>
              <w:rPr/>
              <w:t>$</w:t>
            </w:r>
          </w:p>
        </w:tc>
        <w:tc>
          <w:tcPr>
            <w:tcW w:w="1238" w:type="dxa"/>
            <w:tcBorders>
              <w:bottom w:val="single" w:sz="2" w:space="0" w:color="000000"/>
            </w:tcBorders>
            <w:shd w:fill="FFFFFF" w:val="clear"/>
            <w:vAlign w:val="center"/>
          </w:tcPr>
          <w:p>
            <w:pPr>
              <w:pStyle w:val="TableContents"/>
              <w:bidi w:val="0"/>
              <w:spacing w:before="0" w:after="283"/>
              <w:jc w:val="right"/>
              <w:rPr/>
            </w:pPr>
            <w:r>
              <w:rPr/>
              <w:t>68.51</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vAlign w:val="center"/>
          </w:tcPr>
          <w:p>
            <w:pPr>
              <w:pStyle w:val="TableContents"/>
              <w:bidi w:val="0"/>
              <w:spacing w:before="0" w:after="283"/>
              <w:jc w:val="right"/>
              <w:rPr/>
            </w:pPr>
            <w:r>
              <w:rPr/>
              <w:t>77,083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FFFFFF" w:val="clear"/>
            <w:vAlign w:val="center"/>
          </w:tcPr>
          <w:p>
            <w:pPr>
              <w:pStyle w:val="TableContents"/>
              <w:bidi w:val="0"/>
              <w:spacing w:before="0" w:after="283"/>
              <w:jc w:val="left"/>
              <w:rPr/>
            </w:pPr>
            <w:r>
              <w:rPr/>
              <w:t>$</w:t>
            </w:r>
          </w:p>
        </w:tc>
        <w:tc>
          <w:tcPr>
            <w:tcW w:w="1308" w:type="dxa"/>
            <w:tcBorders>
              <w:bottom w:val="single" w:sz="2" w:space="0" w:color="000000"/>
            </w:tcBorders>
            <w:shd w:fill="FFFFFF" w:val="clear"/>
            <w:vAlign w:val="center"/>
          </w:tcPr>
          <w:p>
            <w:pPr>
              <w:pStyle w:val="TableContents"/>
              <w:bidi w:val="0"/>
              <w:spacing w:before="0" w:after="283"/>
              <w:jc w:val="right"/>
              <w:rPr/>
            </w:pPr>
            <w:r>
              <w:rPr/>
              <w:t>54.63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7" w:type="dxa"/>
            <w:tcBorders>
              <w:bottom w:val="single" w:sz="2" w:space="0" w:color="000000"/>
            </w:tcBorders>
            <w:shd w:fill="FFFFFF" w:val="clear"/>
            <w:vAlign w:val="center"/>
          </w:tcPr>
          <w:p>
            <w:pPr>
              <w:pStyle w:val="TableContents"/>
              <w:bidi w:val="0"/>
              <w:spacing w:before="0" w:after="283"/>
              <w:jc w:val="left"/>
              <w:rPr/>
            </w:pPr>
            <w:r>
              <w:rPr/>
              <w:t>$</w:t>
            </w:r>
          </w:p>
        </w:tc>
        <w:tc>
          <w:tcPr>
            <w:tcW w:w="1412" w:type="dxa"/>
            <w:tcBorders>
              <w:bottom w:val="single" w:sz="2" w:space="0" w:color="000000"/>
            </w:tcBorders>
            <w:shd w:fill="FFFFFF" w:val="clear"/>
            <w:vAlign w:val="center"/>
          </w:tcPr>
          <w:p>
            <w:pPr>
              <w:pStyle w:val="TableContents"/>
              <w:bidi w:val="0"/>
              <w:spacing w:before="0" w:after="283"/>
              <w:jc w:val="right"/>
              <w:rPr/>
            </w:pPr>
            <w:r>
              <w:rPr/>
              <w:t>68.55</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vAlign w:val="center"/>
          </w:tcPr>
          <w:p>
            <w:pPr>
              <w:pStyle w:val="TableContents"/>
              <w:bidi w:val="0"/>
              <w:spacing w:before="0" w:after="283"/>
              <w:jc w:val="right"/>
              <w:rPr/>
            </w:pPr>
            <w:r>
              <w:rPr/>
              <w:t>285,000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CCEEFF" w:val="clear"/>
            <w:vAlign w:val="center"/>
          </w:tcPr>
          <w:p>
            <w:pPr>
              <w:pStyle w:val="TableContents"/>
              <w:bidi w:val="0"/>
              <w:spacing w:before="0" w:after="283"/>
              <w:jc w:val="left"/>
              <w:rPr/>
            </w:pPr>
            <w:r>
              <w:rPr/>
              <w:t>$</w:t>
            </w:r>
          </w:p>
        </w:tc>
        <w:tc>
          <w:tcPr>
            <w:tcW w:w="1238" w:type="dxa"/>
            <w:tcBorders>
              <w:bottom w:val="single" w:sz="2" w:space="0" w:color="000000"/>
            </w:tcBorders>
            <w:shd w:fill="CCEEFF" w:val="clear"/>
            <w:vAlign w:val="center"/>
          </w:tcPr>
          <w:p>
            <w:pPr>
              <w:pStyle w:val="TableContents"/>
              <w:bidi w:val="0"/>
              <w:spacing w:before="0" w:after="283"/>
              <w:jc w:val="right"/>
              <w:rPr/>
            </w:pPr>
            <w:r>
              <w:rPr/>
              <w:t>68.87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vAlign w:val="center"/>
          </w:tcPr>
          <w:p>
            <w:pPr>
              <w:pStyle w:val="TableContents"/>
              <w:bidi w:val="0"/>
              <w:spacing w:before="0" w:after="283"/>
              <w:jc w:val="right"/>
              <w:rPr/>
            </w:pPr>
            <w:r>
              <w:rPr/>
              <w:t>148,253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vAlign w:val="center"/>
          </w:tcPr>
          <w:p>
            <w:pPr>
              <w:pStyle w:val="TableContents"/>
              <w:bidi w:val="0"/>
              <w:spacing w:before="0" w:after="283"/>
              <w:jc w:val="left"/>
              <w:rPr/>
            </w:pPr>
            <w:r>
              <w:rPr/>
              <w:t>$</w:t>
            </w:r>
          </w:p>
        </w:tc>
        <w:tc>
          <w:tcPr>
            <w:tcW w:w="1308" w:type="dxa"/>
            <w:tcBorders>
              <w:bottom w:val="single" w:sz="2" w:space="0" w:color="000000"/>
            </w:tcBorders>
            <w:shd w:fill="CCEEFF" w:val="clear"/>
            <w:vAlign w:val="center"/>
          </w:tcPr>
          <w:p>
            <w:pPr>
              <w:pStyle w:val="TableContents"/>
              <w:bidi w:val="0"/>
              <w:spacing w:before="0" w:after="283"/>
              <w:jc w:val="right"/>
              <w:rPr/>
            </w:pPr>
            <w:r>
              <w:rPr/>
              <w:t>54.75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7" w:type="dxa"/>
            <w:tcBorders>
              <w:bottom w:val="single" w:sz="2" w:space="0" w:color="000000"/>
            </w:tcBorders>
            <w:shd w:fill="CCEEFF" w:val="clear"/>
            <w:vAlign w:val="center"/>
          </w:tcPr>
          <w:p>
            <w:pPr>
              <w:pStyle w:val="TableContents"/>
              <w:bidi w:val="0"/>
              <w:spacing w:before="0" w:after="283"/>
              <w:jc w:val="left"/>
              <w:rPr/>
            </w:pPr>
            <w:r>
              <w:rPr/>
              <w:t>$</w:t>
            </w:r>
          </w:p>
        </w:tc>
        <w:tc>
          <w:tcPr>
            <w:tcW w:w="1412" w:type="dxa"/>
            <w:tcBorders>
              <w:bottom w:val="single" w:sz="2" w:space="0" w:color="000000"/>
            </w:tcBorders>
            <w:shd w:fill="CCEEFF" w:val="clear"/>
            <w:vAlign w:val="center"/>
          </w:tcPr>
          <w:p>
            <w:pPr>
              <w:pStyle w:val="TableContents"/>
              <w:bidi w:val="0"/>
              <w:spacing w:before="0" w:after="283"/>
              <w:jc w:val="right"/>
              <w:rPr/>
            </w:pPr>
            <w:r>
              <w:rPr/>
              <w:t>69.36</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30,000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shd w:fill="FFFFFF" w:val="clear"/>
            <w:tcMar>
              <w:bottom w:w="0" w:type="dxa"/>
            </w:tcMar>
            <w:vAlign w:val="center"/>
          </w:tcPr>
          <w:p>
            <w:pPr>
              <w:pStyle w:val="TableContents"/>
              <w:bidi w:val="0"/>
              <w:spacing w:before="0" w:after="283"/>
              <w:jc w:val="left"/>
              <w:rPr/>
            </w:pPr>
            <w:r>
              <w:rPr/>
              <w:t>$</w:t>
            </w:r>
          </w:p>
        </w:tc>
        <w:tc>
          <w:tcPr>
            <w:tcW w:w="1238" w:type="dxa"/>
            <w:tcBorders/>
            <w:shd w:fill="FFFFFF" w:val="clear"/>
            <w:tcMar>
              <w:bottom w:w="0" w:type="dxa"/>
            </w:tcMar>
            <w:vAlign w:val="center"/>
          </w:tcPr>
          <w:p>
            <w:pPr>
              <w:pStyle w:val="TableContents"/>
              <w:bidi w:val="0"/>
              <w:spacing w:before="0" w:after="283"/>
              <w:jc w:val="right"/>
              <w:rPr/>
            </w:pPr>
            <w:r>
              <w:rPr/>
              <w:t>64.90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54,900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76" w:type="dxa"/>
            <w:tcBorders/>
            <w:shd w:fill="FFFFFF" w:val="clear"/>
            <w:tcMar>
              <w:bottom w:w="0" w:type="dxa"/>
            </w:tcMar>
            <w:vAlign w:val="center"/>
          </w:tcPr>
          <w:p>
            <w:pPr>
              <w:pStyle w:val="TableContents"/>
              <w:bidi w:val="0"/>
              <w:spacing w:before="0" w:after="283"/>
              <w:jc w:val="left"/>
              <w:rPr/>
            </w:pPr>
            <w:r>
              <w:rPr/>
              <w:t>$</w:t>
            </w:r>
          </w:p>
        </w:tc>
        <w:tc>
          <w:tcPr>
            <w:tcW w:w="1308" w:type="dxa"/>
            <w:tcBorders/>
            <w:shd w:fill="FFFFFF" w:val="clear"/>
            <w:tcMar>
              <w:bottom w:w="0" w:type="dxa"/>
            </w:tcMar>
            <w:vAlign w:val="center"/>
          </w:tcPr>
          <w:p>
            <w:pPr>
              <w:pStyle w:val="TableContents"/>
              <w:bidi w:val="0"/>
              <w:spacing w:before="0" w:after="283"/>
              <w:jc w:val="right"/>
              <w:rPr/>
            </w:pPr>
            <w:r>
              <w:rPr/>
              <w:t>54.00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7" w:type="dxa"/>
            <w:tcBorders/>
            <w:shd w:fill="FFFFFF" w:val="clear"/>
            <w:tcMar>
              <w:bottom w:w="0" w:type="dxa"/>
            </w:tcMar>
            <w:vAlign w:val="center"/>
          </w:tcPr>
          <w:p>
            <w:pPr>
              <w:pStyle w:val="TableContents"/>
              <w:bidi w:val="0"/>
              <w:spacing w:before="0" w:after="283"/>
              <w:jc w:val="left"/>
              <w:rPr/>
            </w:pPr>
            <w:r>
              <w:rPr/>
              <w:t>$</w:t>
            </w:r>
          </w:p>
        </w:tc>
        <w:tc>
          <w:tcPr>
            <w:tcW w:w="1412" w:type="dxa"/>
            <w:tcBorders/>
            <w:shd w:fill="FFFFFF" w:val="clear"/>
            <w:tcMar>
              <w:bottom w:w="0" w:type="dxa"/>
            </w:tcMar>
            <w:vAlign w:val="center"/>
          </w:tcPr>
          <w:p>
            <w:pPr>
              <w:pStyle w:val="TableContents"/>
              <w:bidi w:val="0"/>
              <w:spacing w:before="0" w:after="283"/>
              <w:jc w:val="right"/>
              <w:rPr/>
            </w:pPr>
            <w:r>
              <w:rPr/>
              <w:t>64.00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30,000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shd w:fill="CCEEFF" w:val="clear"/>
            <w:tcMar>
              <w:bottom w:w="0" w:type="dxa"/>
            </w:tcMar>
            <w:vAlign w:val="center"/>
          </w:tcPr>
          <w:p>
            <w:pPr>
              <w:pStyle w:val="TableContents"/>
              <w:bidi w:val="0"/>
              <w:spacing w:before="0" w:after="283"/>
              <w:jc w:val="left"/>
              <w:rPr/>
            </w:pPr>
            <w:r>
              <w:rPr/>
              <w:t>$</w:t>
            </w:r>
          </w:p>
        </w:tc>
        <w:tc>
          <w:tcPr>
            <w:tcW w:w="1238" w:type="dxa"/>
            <w:tcBorders/>
            <w:shd w:fill="CCEEFF" w:val="clear"/>
            <w:tcMar>
              <w:bottom w:w="0" w:type="dxa"/>
            </w:tcMar>
            <w:vAlign w:val="center"/>
          </w:tcPr>
          <w:p>
            <w:pPr>
              <w:pStyle w:val="TableContents"/>
              <w:bidi w:val="0"/>
              <w:spacing w:before="0" w:after="283"/>
              <w:jc w:val="right"/>
              <w:rPr/>
            </w:pPr>
            <w:r>
              <w:rPr/>
              <w:t>64.90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9,900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76" w:type="dxa"/>
            <w:tcBorders/>
            <w:shd w:fill="CCEEFF" w:val="clear"/>
            <w:tcMar>
              <w:bottom w:w="0" w:type="dxa"/>
            </w:tcMar>
            <w:vAlign w:val="center"/>
          </w:tcPr>
          <w:p>
            <w:pPr>
              <w:pStyle w:val="TableContents"/>
              <w:bidi w:val="0"/>
              <w:spacing w:before="0" w:after="283"/>
              <w:jc w:val="left"/>
              <w:rPr/>
            </w:pPr>
            <w:r>
              <w:rPr/>
              <w:t>$</w:t>
            </w:r>
          </w:p>
        </w:tc>
        <w:tc>
          <w:tcPr>
            <w:tcW w:w="1308" w:type="dxa"/>
            <w:tcBorders/>
            <w:shd w:fill="CCEEFF" w:val="clear"/>
            <w:tcMar>
              <w:bottom w:w="0" w:type="dxa"/>
            </w:tcMar>
            <w:vAlign w:val="center"/>
          </w:tcPr>
          <w:p>
            <w:pPr>
              <w:pStyle w:val="TableContents"/>
              <w:bidi w:val="0"/>
              <w:spacing w:before="0" w:after="283"/>
              <w:jc w:val="right"/>
              <w:rPr/>
            </w:pPr>
            <w:r>
              <w:rPr/>
              <w:t>54.00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7" w:type="dxa"/>
            <w:tcBorders/>
            <w:shd w:fill="CCEEFF" w:val="clear"/>
            <w:tcMar>
              <w:bottom w:w="0" w:type="dxa"/>
            </w:tcMar>
            <w:vAlign w:val="center"/>
          </w:tcPr>
          <w:p>
            <w:pPr>
              <w:pStyle w:val="TableContents"/>
              <w:bidi w:val="0"/>
              <w:spacing w:before="0" w:after="283"/>
              <w:jc w:val="left"/>
              <w:rPr/>
            </w:pPr>
            <w:r>
              <w:rPr/>
              <w:t>$</w:t>
            </w:r>
          </w:p>
        </w:tc>
        <w:tc>
          <w:tcPr>
            <w:tcW w:w="1412" w:type="dxa"/>
            <w:tcBorders/>
            <w:shd w:fill="CCEEFF" w:val="clear"/>
            <w:tcMar>
              <w:bottom w:w="0" w:type="dxa"/>
            </w:tcMar>
            <w:vAlign w:val="center"/>
          </w:tcPr>
          <w:p>
            <w:pPr>
              <w:pStyle w:val="TableContents"/>
              <w:bidi w:val="0"/>
              <w:spacing w:before="0" w:after="283"/>
              <w:jc w:val="right"/>
              <w:rPr/>
            </w:pPr>
            <w:r>
              <w:rPr/>
              <w:t>64.00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30,000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shd w:fill="FFFFFF" w:val="clear"/>
            <w:tcMar>
              <w:bottom w:w="0" w:type="dxa"/>
            </w:tcMar>
            <w:vAlign w:val="center"/>
          </w:tcPr>
          <w:p>
            <w:pPr>
              <w:pStyle w:val="TableContents"/>
              <w:bidi w:val="0"/>
              <w:spacing w:before="0" w:after="283"/>
              <w:jc w:val="left"/>
              <w:rPr/>
            </w:pPr>
            <w:r>
              <w:rPr/>
              <w:t>$</w:t>
            </w:r>
          </w:p>
        </w:tc>
        <w:tc>
          <w:tcPr>
            <w:tcW w:w="1238" w:type="dxa"/>
            <w:tcBorders/>
            <w:shd w:fill="FFFFFF" w:val="clear"/>
            <w:tcMar>
              <w:bottom w:w="0" w:type="dxa"/>
            </w:tcMar>
            <w:vAlign w:val="center"/>
          </w:tcPr>
          <w:p>
            <w:pPr>
              <w:pStyle w:val="TableContents"/>
              <w:bidi w:val="0"/>
              <w:spacing w:before="0" w:after="283"/>
              <w:jc w:val="right"/>
              <w:rPr/>
            </w:pPr>
            <w:r>
              <w:rPr/>
              <w:t>64.90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1,700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76" w:type="dxa"/>
            <w:tcBorders/>
            <w:shd w:fill="FFFFFF" w:val="clear"/>
            <w:tcMar>
              <w:bottom w:w="0" w:type="dxa"/>
            </w:tcMar>
            <w:vAlign w:val="center"/>
          </w:tcPr>
          <w:p>
            <w:pPr>
              <w:pStyle w:val="TableContents"/>
              <w:bidi w:val="0"/>
              <w:spacing w:before="0" w:after="283"/>
              <w:jc w:val="left"/>
              <w:rPr/>
            </w:pPr>
            <w:r>
              <w:rPr/>
              <w:t>$</w:t>
            </w:r>
          </w:p>
        </w:tc>
        <w:tc>
          <w:tcPr>
            <w:tcW w:w="1308" w:type="dxa"/>
            <w:tcBorders/>
            <w:shd w:fill="FFFFFF" w:val="clear"/>
            <w:tcMar>
              <w:bottom w:w="0" w:type="dxa"/>
            </w:tcMar>
            <w:vAlign w:val="center"/>
          </w:tcPr>
          <w:p>
            <w:pPr>
              <w:pStyle w:val="TableContents"/>
              <w:bidi w:val="0"/>
              <w:spacing w:before="0" w:after="283"/>
              <w:jc w:val="right"/>
              <w:rPr/>
            </w:pPr>
            <w:r>
              <w:rPr/>
              <w:t>54.00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7" w:type="dxa"/>
            <w:tcBorders/>
            <w:shd w:fill="FFFFFF" w:val="clear"/>
            <w:tcMar>
              <w:bottom w:w="0" w:type="dxa"/>
            </w:tcMar>
            <w:vAlign w:val="center"/>
          </w:tcPr>
          <w:p>
            <w:pPr>
              <w:pStyle w:val="TableContents"/>
              <w:bidi w:val="0"/>
              <w:spacing w:before="0" w:after="283"/>
              <w:jc w:val="left"/>
              <w:rPr/>
            </w:pPr>
            <w:r>
              <w:rPr/>
              <w:t>$</w:t>
            </w:r>
          </w:p>
        </w:tc>
        <w:tc>
          <w:tcPr>
            <w:tcW w:w="1412" w:type="dxa"/>
            <w:tcBorders/>
            <w:shd w:fill="FFFFFF" w:val="clear"/>
            <w:tcMar>
              <w:bottom w:w="0" w:type="dxa"/>
            </w:tcMar>
            <w:vAlign w:val="center"/>
          </w:tcPr>
          <w:p>
            <w:pPr>
              <w:pStyle w:val="TableContents"/>
              <w:bidi w:val="0"/>
              <w:spacing w:before="0" w:after="283"/>
              <w:jc w:val="right"/>
              <w:rPr/>
            </w:pPr>
            <w:r>
              <w:rPr/>
              <w:t>64.00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vAlign w:val="center"/>
          </w:tcPr>
          <w:p>
            <w:pPr>
              <w:pStyle w:val="TableContents"/>
              <w:bidi w:val="0"/>
              <w:spacing w:before="0" w:after="283"/>
              <w:jc w:val="right"/>
              <w:rPr/>
            </w:pPr>
            <w:r>
              <w:rPr/>
              <w:t>30,000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CCEEFF" w:val="clear"/>
            <w:vAlign w:val="center"/>
          </w:tcPr>
          <w:p>
            <w:pPr>
              <w:pStyle w:val="TableContents"/>
              <w:bidi w:val="0"/>
              <w:spacing w:before="0" w:after="283"/>
              <w:jc w:val="left"/>
              <w:rPr/>
            </w:pPr>
            <w:r>
              <w:rPr/>
              <w:t>$</w:t>
            </w:r>
          </w:p>
        </w:tc>
        <w:tc>
          <w:tcPr>
            <w:tcW w:w="1238" w:type="dxa"/>
            <w:tcBorders>
              <w:bottom w:val="single" w:sz="2" w:space="0" w:color="000000"/>
            </w:tcBorders>
            <w:shd w:fill="CCEEFF" w:val="clear"/>
            <w:vAlign w:val="center"/>
          </w:tcPr>
          <w:p>
            <w:pPr>
              <w:pStyle w:val="TableContents"/>
              <w:bidi w:val="0"/>
              <w:spacing w:before="0" w:after="283"/>
              <w:jc w:val="right"/>
              <w:rPr/>
            </w:pPr>
            <w:r>
              <w:rPr/>
              <w:t>64.90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vAlign w:val="center"/>
          </w:tcPr>
          <w:p>
            <w:pPr>
              <w:pStyle w:val="TableContents"/>
              <w:bidi w:val="0"/>
              <w:spacing w:before="0" w:after="283"/>
              <w:jc w:val="right"/>
              <w:rPr/>
            </w:pPr>
            <w:r>
              <w:rPr/>
              <w:t>1,800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vAlign w:val="center"/>
          </w:tcPr>
          <w:p>
            <w:pPr>
              <w:pStyle w:val="TableContents"/>
              <w:bidi w:val="0"/>
              <w:spacing w:before="0" w:after="283"/>
              <w:jc w:val="left"/>
              <w:rPr/>
            </w:pPr>
            <w:r>
              <w:rPr/>
              <w:t>$</w:t>
            </w:r>
          </w:p>
        </w:tc>
        <w:tc>
          <w:tcPr>
            <w:tcW w:w="1308" w:type="dxa"/>
            <w:tcBorders>
              <w:bottom w:val="single" w:sz="2" w:space="0" w:color="000000"/>
            </w:tcBorders>
            <w:shd w:fill="CCEEFF" w:val="clear"/>
            <w:vAlign w:val="center"/>
          </w:tcPr>
          <w:p>
            <w:pPr>
              <w:pStyle w:val="TableContents"/>
              <w:bidi w:val="0"/>
              <w:spacing w:before="0" w:after="283"/>
              <w:jc w:val="right"/>
              <w:rPr/>
            </w:pPr>
            <w:r>
              <w:rPr/>
              <w:t>54.00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7" w:type="dxa"/>
            <w:tcBorders>
              <w:bottom w:val="single" w:sz="2" w:space="0" w:color="000000"/>
            </w:tcBorders>
            <w:shd w:fill="CCEEFF" w:val="clear"/>
            <w:vAlign w:val="center"/>
          </w:tcPr>
          <w:p>
            <w:pPr>
              <w:pStyle w:val="TableContents"/>
              <w:bidi w:val="0"/>
              <w:spacing w:before="0" w:after="283"/>
              <w:jc w:val="left"/>
              <w:rPr/>
            </w:pPr>
            <w:r>
              <w:rPr/>
              <w:t>$</w:t>
            </w:r>
          </w:p>
        </w:tc>
        <w:tc>
          <w:tcPr>
            <w:tcW w:w="1412" w:type="dxa"/>
            <w:tcBorders>
              <w:bottom w:val="single" w:sz="2" w:space="0" w:color="000000"/>
            </w:tcBorders>
            <w:shd w:fill="CCEEFF" w:val="clear"/>
            <w:vAlign w:val="center"/>
          </w:tcPr>
          <w:p>
            <w:pPr>
              <w:pStyle w:val="TableContents"/>
              <w:bidi w:val="0"/>
              <w:spacing w:before="0" w:after="283"/>
              <w:jc w:val="right"/>
              <w:rPr/>
            </w:pPr>
            <w:r>
              <w:rPr/>
              <w:t>64.00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vAlign w:val="center"/>
          </w:tcPr>
          <w:p>
            <w:pPr>
              <w:pStyle w:val="TableContents"/>
              <w:bidi w:val="0"/>
              <w:spacing w:before="0" w:after="283"/>
              <w:jc w:val="right"/>
              <w:rPr/>
            </w:pPr>
            <w:r>
              <w:rPr/>
              <w:t>120,000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FFFFFF" w:val="clear"/>
            <w:vAlign w:val="center"/>
          </w:tcPr>
          <w:p>
            <w:pPr>
              <w:pStyle w:val="TableContents"/>
              <w:bidi w:val="0"/>
              <w:spacing w:before="0" w:after="283"/>
              <w:jc w:val="left"/>
              <w:rPr/>
            </w:pPr>
            <w:r>
              <w:rPr/>
              <w:t>$</w:t>
            </w:r>
          </w:p>
        </w:tc>
        <w:tc>
          <w:tcPr>
            <w:tcW w:w="1238" w:type="dxa"/>
            <w:tcBorders>
              <w:bottom w:val="single" w:sz="2" w:space="0" w:color="000000"/>
            </w:tcBorders>
            <w:shd w:fill="FFFFFF" w:val="clear"/>
            <w:vAlign w:val="center"/>
          </w:tcPr>
          <w:p>
            <w:pPr>
              <w:pStyle w:val="TableContents"/>
              <w:bidi w:val="0"/>
              <w:spacing w:before="0" w:after="283"/>
              <w:jc w:val="right"/>
              <w:rPr/>
            </w:pPr>
            <w:r>
              <w:rPr/>
              <w:t>64.90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vAlign w:val="center"/>
          </w:tcPr>
          <w:p>
            <w:pPr>
              <w:pStyle w:val="TableContents"/>
              <w:bidi w:val="0"/>
              <w:spacing w:before="0" w:after="283"/>
              <w:jc w:val="right"/>
              <w:rPr/>
            </w:pPr>
            <w:r>
              <w:rPr/>
              <w:t>68,300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FFFFFF" w:val="clear"/>
            <w:vAlign w:val="center"/>
          </w:tcPr>
          <w:p>
            <w:pPr>
              <w:pStyle w:val="TableContents"/>
              <w:bidi w:val="0"/>
              <w:spacing w:before="0" w:after="283"/>
              <w:jc w:val="left"/>
              <w:rPr/>
            </w:pPr>
            <w:r>
              <w:rPr/>
              <w:t>$</w:t>
            </w:r>
          </w:p>
        </w:tc>
        <w:tc>
          <w:tcPr>
            <w:tcW w:w="1308" w:type="dxa"/>
            <w:tcBorders>
              <w:bottom w:val="single" w:sz="2" w:space="0" w:color="000000"/>
            </w:tcBorders>
            <w:shd w:fill="FFFFFF" w:val="clear"/>
            <w:vAlign w:val="center"/>
          </w:tcPr>
          <w:p>
            <w:pPr>
              <w:pStyle w:val="TableContents"/>
              <w:bidi w:val="0"/>
              <w:spacing w:before="0" w:after="283"/>
              <w:jc w:val="right"/>
              <w:rPr/>
            </w:pPr>
            <w:r>
              <w:rPr/>
              <w:t>54.00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7" w:type="dxa"/>
            <w:tcBorders>
              <w:bottom w:val="single" w:sz="2" w:space="0" w:color="000000"/>
            </w:tcBorders>
            <w:shd w:fill="FFFFFF" w:val="clear"/>
            <w:vAlign w:val="center"/>
          </w:tcPr>
          <w:p>
            <w:pPr>
              <w:pStyle w:val="TableContents"/>
              <w:bidi w:val="0"/>
              <w:spacing w:before="0" w:after="283"/>
              <w:jc w:val="left"/>
              <w:rPr/>
            </w:pPr>
            <w:r>
              <w:rPr/>
              <w:t>$</w:t>
            </w:r>
          </w:p>
        </w:tc>
        <w:tc>
          <w:tcPr>
            <w:tcW w:w="1412" w:type="dxa"/>
            <w:tcBorders>
              <w:bottom w:val="single" w:sz="2" w:space="0" w:color="000000"/>
            </w:tcBorders>
            <w:shd w:fill="FFFFFF" w:val="clear"/>
            <w:vAlign w:val="center"/>
          </w:tcPr>
          <w:p>
            <w:pPr>
              <w:pStyle w:val="TableContents"/>
              <w:bidi w:val="0"/>
              <w:spacing w:before="0" w:after="283"/>
              <w:jc w:val="right"/>
              <w:rPr/>
            </w:pPr>
            <w:r>
              <w:rPr/>
              <w:t>64.00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shd w:fill="CCEEFF" w:val="clear"/>
            <w:tcMar>
              <w:bottom w:w="0" w:type="dxa"/>
            </w:tcMar>
            <w:vAlign w:val="center"/>
          </w:tcPr>
          <w:p>
            <w:pPr>
              <w:pStyle w:val="TableContents"/>
              <w:bidi w:val="0"/>
              <w:spacing w:before="0" w:after="0"/>
              <w:ind w:left="0" w:right="0" w:hanging="0"/>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76" w:type="dxa"/>
            <w:tcBorders/>
            <w:shd w:fill="CCEEFF" w:val="clear"/>
            <w:tcMar>
              <w:bottom w:w="0" w:type="dxa"/>
            </w:tcMar>
            <w:vAlign w:val="center"/>
          </w:tcPr>
          <w:p>
            <w:pPr>
              <w:pStyle w:val="TableContents"/>
              <w:bidi w:val="0"/>
              <w:spacing w:before="0" w:after="0"/>
              <w:ind w:left="0" w:right="0" w:hanging="0"/>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7" w:type="dxa"/>
            <w:tcBorders/>
            <w:shd w:fill="CCEEFF" w:val="clear"/>
            <w:tcMar>
              <w:bottom w:w="0" w:type="dxa"/>
            </w:tcMar>
            <w:vAlign w:val="center"/>
          </w:tcPr>
          <w:p>
            <w:pPr>
              <w:pStyle w:val="TableContents"/>
              <w:bidi w:val="0"/>
              <w:spacing w:before="0" w:after="0"/>
              <w:ind w:left="0" w:right="0" w:hanging="0"/>
              <w:jc w:val="left"/>
              <w:rPr/>
            </w:pPr>
            <w:r>
              <w:rPr/>
              <w:t> </w:t>
            </w:r>
          </w:p>
        </w:tc>
        <w:tc>
          <w:tcPr>
            <w:tcW w:w="1412"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shd w:fill="FFFFFF" w:val="clear"/>
            <w:tcMar>
              <w:bottom w:w="0" w:type="dxa"/>
            </w:tcMar>
            <w:vAlign w:val="center"/>
          </w:tcPr>
          <w:p>
            <w:pPr>
              <w:pStyle w:val="TableContents"/>
              <w:bidi w:val="0"/>
              <w:spacing w:before="0" w:after="0"/>
              <w:ind w:left="0" w:right="0" w:hanging="0"/>
              <w:jc w:val="left"/>
              <w:rPr/>
            </w:pPr>
            <w:r>
              <w:rPr/>
              <w:t> </w:t>
            </w:r>
          </w:p>
        </w:tc>
        <w:tc>
          <w:tcPr>
            <w:tcW w:w="1238"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76" w:type="dxa"/>
            <w:tcBorders/>
            <w:shd w:fill="FFFFFF" w:val="clear"/>
            <w:tcMar>
              <w:bottom w:w="0" w:type="dxa"/>
            </w:tcMar>
            <w:vAlign w:val="center"/>
          </w:tcPr>
          <w:p>
            <w:pPr>
              <w:pStyle w:val="TableContents"/>
              <w:bidi w:val="0"/>
              <w:spacing w:before="0" w:after="0"/>
              <w:ind w:left="0" w:right="0" w:hanging="0"/>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7" w:type="dxa"/>
            <w:tcBorders/>
            <w:shd w:fill="FFFFFF" w:val="clear"/>
            <w:tcMar>
              <w:bottom w:w="0" w:type="dxa"/>
            </w:tcMar>
            <w:vAlign w:val="center"/>
          </w:tcPr>
          <w:p>
            <w:pPr>
              <w:pStyle w:val="TableContents"/>
              <w:bidi w:val="0"/>
              <w:spacing w:before="0" w:after="0"/>
              <w:ind w:left="0" w:right="0" w:hanging="0"/>
              <w:jc w:val="left"/>
              <w:rPr/>
            </w:pPr>
            <w:r>
              <w:rPr/>
              <w:t> </w:t>
            </w:r>
          </w:p>
        </w:tc>
        <w:tc>
          <w:tcPr>
            <w:tcW w:w="1412"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shd w:fill="CCEEFF" w:val="clear"/>
            <w:tcMar>
              <w:bottom w:w="0" w:type="dxa"/>
            </w:tcMar>
            <w:vAlign w:val="center"/>
          </w:tcPr>
          <w:p>
            <w:pPr>
              <w:pStyle w:val="TableContents"/>
              <w:bidi w:val="0"/>
              <w:spacing w:before="0" w:after="0"/>
              <w:ind w:left="0" w:right="0" w:hanging="0"/>
              <w:jc w:val="left"/>
              <w:rPr/>
            </w:pPr>
            <w:r>
              <w:rPr/>
              <w:t> </w:t>
            </w:r>
          </w:p>
        </w:tc>
        <w:tc>
          <w:tcPr>
            <w:tcW w:w="1238"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76" w:type="dxa"/>
            <w:tcBorders/>
            <w:shd w:fill="CCEEFF" w:val="clear"/>
            <w:tcMar>
              <w:bottom w:w="0" w:type="dxa"/>
            </w:tcMar>
            <w:vAlign w:val="center"/>
          </w:tcPr>
          <w:p>
            <w:pPr>
              <w:pStyle w:val="TableContents"/>
              <w:bidi w:val="0"/>
              <w:spacing w:before="0" w:after="0"/>
              <w:ind w:left="0" w:right="0" w:hanging="0"/>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7" w:type="dxa"/>
            <w:tcBorders/>
            <w:shd w:fill="CCEEFF" w:val="clear"/>
            <w:tcMar>
              <w:bottom w:w="0" w:type="dxa"/>
            </w:tcMar>
            <w:vAlign w:val="center"/>
          </w:tcPr>
          <w:p>
            <w:pPr>
              <w:pStyle w:val="TableContents"/>
              <w:bidi w:val="0"/>
              <w:spacing w:before="0" w:after="0"/>
              <w:ind w:left="0" w:right="0" w:hanging="0"/>
              <w:jc w:val="left"/>
              <w:rPr/>
            </w:pPr>
            <w:r>
              <w:rPr/>
              <w:t> </w:t>
            </w:r>
          </w:p>
        </w:tc>
        <w:tc>
          <w:tcPr>
            <w:tcW w:w="1412"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38"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08"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412" w:type="dxa"/>
            <w:tcBorders>
              <w:bottom w:val="single" w:sz="2" w:space="0" w:color="000000"/>
            </w:tcBorders>
            <w:shd w:fill="FFFFFF" w:val="cle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238" w:type="dxa"/>
            <w:tcBorders>
              <w:bottom w:val="single" w:sz="2" w:space="0" w:color="000000"/>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08" w:type="dxa"/>
            <w:tcBorders>
              <w:bottom w:val="single" w:sz="2" w:space="0" w:color="000000"/>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412" w:type="dxa"/>
            <w:tcBorders>
              <w:bottom w:val="single" w:sz="2" w:space="0" w:color="000000"/>
            </w:tcBorders>
            <w:shd w:fill="CCEEFF" w:val="clear"/>
            <w:vAlign w:val="center"/>
          </w:tcPr>
          <w:p>
            <w:pPr>
              <w:pStyle w:val="TableContents"/>
              <w:bidi w:val="0"/>
              <w:spacing w:before="0" w:after="283"/>
              <w:jc w:val="right"/>
              <w:rPr/>
            </w:pPr>
            <w:r>
              <w:rPr>
                <w:rStyle w:val="StrongEmphasis"/>
              </w:rPr>
              <w:t>-</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9190" w:type="dxa"/>
        <w:jc w:val="left"/>
        <w:tblInd w:w="0" w:type="dxa"/>
        <w:tblLayout w:type="fixed"/>
        <w:tblCellMar>
          <w:top w:w="0" w:type="dxa"/>
          <w:left w:w="0" w:type="dxa"/>
          <w:bottom w:w="28" w:type="dxa"/>
          <w:right w:w="0" w:type="dxa"/>
        </w:tblCellMar>
      </w:tblPr>
      <w:tblGrid>
        <w:gridCol w:w="785"/>
        <w:gridCol w:w="90"/>
        <w:gridCol w:w="117"/>
        <w:gridCol w:w="1087"/>
        <w:gridCol w:w="90"/>
        <w:gridCol w:w="90"/>
        <w:gridCol w:w="419"/>
        <w:gridCol w:w="1160"/>
        <w:gridCol w:w="90"/>
        <w:gridCol w:w="90"/>
        <w:gridCol w:w="117"/>
        <w:gridCol w:w="1087"/>
        <w:gridCol w:w="90"/>
        <w:gridCol w:w="90"/>
        <w:gridCol w:w="443"/>
        <w:gridCol w:w="1226"/>
        <w:gridCol w:w="90"/>
        <w:gridCol w:w="90"/>
        <w:gridCol w:w="477"/>
        <w:gridCol w:w="1327"/>
        <w:gridCol w:w="135"/>
      </w:tblGrid>
      <w:tr>
        <w:trPr/>
        <w:tc>
          <w:tcPr>
            <w:tcW w:w="9190" w:type="dxa"/>
            <w:gridSpan w:val="21"/>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Natural Gas </w:t>
            </w:r>
          </w:p>
        </w:tc>
      </w:tr>
      <w:tr>
        <w:trPr/>
        <w:tc>
          <w:tcPr>
            <w:tcW w:w="78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963" w:type="dxa"/>
            <w:gridSpan w:val="6"/>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Swaps</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5037" w:type="dxa"/>
            <w:gridSpan w:val="10"/>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Costless Collars</w:t>
            </w:r>
          </w:p>
        </w:tc>
        <w:tc>
          <w:tcPr>
            <w:tcW w:w="135" w:type="dxa"/>
            <w:tcBorders/>
            <w:tcMar>
              <w:bottom w:w="0" w:type="dxa"/>
            </w:tcMar>
            <w:vAlign w:val="center"/>
          </w:tcPr>
          <w:p>
            <w:pPr>
              <w:pStyle w:val="TableContents"/>
              <w:bidi w:val="0"/>
              <w:spacing w:before="0" w:after="0"/>
              <w:ind w:left="0" w:right="0" w:hanging="0"/>
              <w:jc w:val="left"/>
              <w:rPr/>
            </w:pPr>
            <w:r>
              <w:rPr>
                <w:rStyle w:val="StrongEmphasis"/>
              </w:rPr>
              <w:t> </w:t>
            </w:r>
          </w:p>
        </w:tc>
      </w:tr>
      <w:tr>
        <w:trPr/>
        <w:tc>
          <w:tcPr>
            <w:tcW w:w="78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Date</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20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Volume (Mcf)</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Avg. Price ($/mcf)</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20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Volume (Mcf)</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66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Floor Price ($/mcf)</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90" w:type="dxa"/>
            <w:tcBorders/>
            <w:tcMar>
              <w:bottom w:w="0" w:type="dxa"/>
            </w:tcMar>
            <w:vAlign w:val="center"/>
          </w:tcPr>
          <w:p>
            <w:pPr>
              <w:pStyle w:val="TableContents"/>
              <w:bidi w:val="0"/>
              <w:spacing w:before="0" w:after="0"/>
              <w:ind w:left="0" w:right="0" w:hanging="0"/>
              <w:jc w:val="left"/>
              <w:rPr/>
            </w:pPr>
            <w:r>
              <w:rPr>
                <w:rStyle w:val="StrongEmphasis"/>
              </w:rPr>
              <w:t> </w:t>
            </w:r>
          </w:p>
        </w:tc>
        <w:tc>
          <w:tcPr>
            <w:tcW w:w="180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Ceiling Price ($/mcf)</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247,500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3.95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17,200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43" w:type="dxa"/>
            <w:tcBorders/>
            <w:shd w:fill="CCEEFF" w:val="clear"/>
            <w:tcMar>
              <w:bottom w:w="0" w:type="dxa"/>
            </w:tcMar>
            <w:vAlign w:val="center"/>
          </w:tcPr>
          <w:p>
            <w:pPr>
              <w:pStyle w:val="TableContents"/>
              <w:bidi w:val="0"/>
              <w:spacing w:before="0" w:after="283"/>
              <w:jc w:val="left"/>
              <w:rPr/>
            </w:pPr>
            <w:r>
              <w:rPr/>
              <w:t>$</w:t>
            </w:r>
          </w:p>
        </w:tc>
        <w:tc>
          <w:tcPr>
            <w:tcW w:w="1226" w:type="dxa"/>
            <w:tcBorders/>
            <w:shd w:fill="CCEEFF" w:val="clear"/>
            <w:tcMar>
              <w:bottom w:w="0" w:type="dxa"/>
            </w:tcMar>
            <w:vAlign w:val="center"/>
          </w:tcPr>
          <w:p>
            <w:pPr>
              <w:pStyle w:val="TableContents"/>
              <w:bidi w:val="0"/>
              <w:spacing w:before="0" w:after="283"/>
              <w:jc w:val="right"/>
              <w:rPr/>
            </w:pPr>
            <w:r>
              <w:rPr/>
              <w:t>3.50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77" w:type="dxa"/>
            <w:tcBorders/>
            <w:shd w:fill="CCEEFF" w:val="clear"/>
            <w:tcMar>
              <w:bottom w:w="0" w:type="dxa"/>
            </w:tcMar>
            <w:vAlign w:val="center"/>
          </w:tcPr>
          <w:p>
            <w:pPr>
              <w:pStyle w:val="TableContents"/>
              <w:bidi w:val="0"/>
              <w:spacing w:before="0" w:after="283"/>
              <w:jc w:val="left"/>
              <w:rPr/>
            </w:pPr>
            <w:r>
              <w:rPr/>
              <w:t>$</w:t>
            </w:r>
          </w:p>
        </w:tc>
        <w:tc>
          <w:tcPr>
            <w:tcW w:w="1327" w:type="dxa"/>
            <w:tcBorders/>
            <w:shd w:fill="CCEEFF" w:val="clear"/>
            <w:tcMar>
              <w:bottom w:w="0" w:type="dxa"/>
            </w:tcMar>
            <w:vAlign w:val="center"/>
          </w:tcPr>
          <w:p>
            <w:pPr>
              <w:pStyle w:val="TableContents"/>
              <w:bidi w:val="0"/>
              <w:spacing w:before="0" w:after="283"/>
              <w:jc w:val="right"/>
              <w:rPr/>
            </w:pPr>
            <w:r>
              <w:rPr/>
              <w:t>5.21</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vAlign w:val="center"/>
          </w:tcPr>
          <w:p>
            <w:pPr>
              <w:pStyle w:val="TableContents"/>
              <w:bidi w:val="0"/>
              <w:spacing w:before="0" w:after="283"/>
              <w:jc w:val="right"/>
              <w:rPr/>
            </w:pPr>
            <w:r>
              <w:rPr/>
              <w:t>234,100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FFFFFF" w:val="clear"/>
            <w:vAlign w:val="center"/>
          </w:tcPr>
          <w:p>
            <w:pPr>
              <w:pStyle w:val="TableContents"/>
              <w:bidi w:val="0"/>
              <w:spacing w:before="0" w:after="283"/>
              <w:jc w:val="left"/>
              <w:rPr/>
            </w:pPr>
            <w:r>
              <w:rPr/>
              <w:t>$</w:t>
            </w:r>
          </w:p>
        </w:tc>
        <w:tc>
          <w:tcPr>
            <w:tcW w:w="1160" w:type="dxa"/>
            <w:tcBorders>
              <w:bottom w:val="single" w:sz="2" w:space="0" w:color="000000"/>
            </w:tcBorders>
            <w:shd w:fill="FFFFFF" w:val="clear"/>
            <w:vAlign w:val="center"/>
          </w:tcPr>
          <w:p>
            <w:pPr>
              <w:pStyle w:val="TableContents"/>
              <w:bidi w:val="0"/>
              <w:spacing w:before="0" w:after="283"/>
              <w:jc w:val="right"/>
              <w:rPr/>
            </w:pPr>
            <w:r>
              <w:rPr/>
              <w:t>3.95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vAlign w:val="center"/>
          </w:tcPr>
          <w:p>
            <w:pPr>
              <w:pStyle w:val="TableContents"/>
              <w:bidi w:val="0"/>
              <w:spacing w:before="0" w:after="283"/>
              <w:jc w:val="right"/>
              <w:rPr/>
            </w:pPr>
            <w:r>
              <w:rPr/>
              <w:t>18,700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43" w:type="dxa"/>
            <w:tcBorders>
              <w:bottom w:val="single" w:sz="2" w:space="0" w:color="000000"/>
            </w:tcBorders>
            <w:shd w:fill="FFFFFF" w:val="clear"/>
            <w:vAlign w:val="center"/>
          </w:tcPr>
          <w:p>
            <w:pPr>
              <w:pStyle w:val="TableContents"/>
              <w:bidi w:val="0"/>
              <w:spacing w:before="0" w:after="283"/>
              <w:jc w:val="left"/>
              <w:rPr/>
            </w:pPr>
            <w:r>
              <w:rPr/>
              <w:t>$</w:t>
            </w:r>
          </w:p>
        </w:tc>
        <w:tc>
          <w:tcPr>
            <w:tcW w:w="1226" w:type="dxa"/>
            <w:tcBorders>
              <w:bottom w:val="single" w:sz="2" w:space="0" w:color="000000"/>
            </w:tcBorders>
            <w:shd w:fill="FFFFFF" w:val="clear"/>
            <w:vAlign w:val="center"/>
          </w:tcPr>
          <w:p>
            <w:pPr>
              <w:pStyle w:val="TableContents"/>
              <w:bidi w:val="0"/>
              <w:spacing w:before="0" w:after="283"/>
              <w:jc w:val="right"/>
              <w:rPr/>
            </w:pPr>
            <w:r>
              <w:rPr/>
              <w:t>3.50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77" w:type="dxa"/>
            <w:tcBorders>
              <w:bottom w:val="single" w:sz="2" w:space="0" w:color="000000"/>
            </w:tcBorders>
            <w:shd w:fill="FFFFFF" w:val="clear"/>
            <w:vAlign w:val="center"/>
          </w:tcPr>
          <w:p>
            <w:pPr>
              <w:pStyle w:val="TableContents"/>
              <w:bidi w:val="0"/>
              <w:spacing w:before="0" w:after="283"/>
              <w:jc w:val="left"/>
              <w:rPr/>
            </w:pPr>
            <w:r>
              <w:rPr/>
              <w:t>$</w:t>
            </w:r>
          </w:p>
        </w:tc>
        <w:tc>
          <w:tcPr>
            <w:tcW w:w="1327" w:type="dxa"/>
            <w:tcBorders>
              <w:bottom w:val="single" w:sz="2" w:space="0" w:color="000000"/>
            </w:tcBorders>
            <w:shd w:fill="FFFFFF" w:val="clear"/>
            <w:vAlign w:val="center"/>
          </w:tcPr>
          <w:p>
            <w:pPr>
              <w:pStyle w:val="TableContents"/>
              <w:bidi w:val="0"/>
              <w:spacing w:before="0" w:after="283"/>
              <w:jc w:val="right"/>
              <w:rPr/>
            </w:pPr>
            <w:r>
              <w:rPr/>
              <w:t>5.21</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vAlign w:val="center"/>
          </w:tcPr>
          <w:p>
            <w:pPr>
              <w:pStyle w:val="TableContents"/>
              <w:bidi w:val="0"/>
              <w:spacing w:before="0" w:after="283"/>
              <w:jc w:val="right"/>
              <w:rPr/>
            </w:pPr>
            <w:r>
              <w:rPr/>
              <w:t>481,600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CCEEFF" w:val="clear"/>
            <w:vAlign w:val="center"/>
          </w:tcPr>
          <w:p>
            <w:pPr>
              <w:pStyle w:val="TableContents"/>
              <w:bidi w:val="0"/>
              <w:spacing w:before="0" w:after="283"/>
              <w:jc w:val="left"/>
              <w:rPr/>
            </w:pPr>
            <w:r>
              <w:rPr/>
              <w:t>$</w:t>
            </w:r>
          </w:p>
        </w:tc>
        <w:tc>
          <w:tcPr>
            <w:tcW w:w="1160" w:type="dxa"/>
            <w:tcBorders>
              <w:bottom w:val="single" w:sz="2" w:space="0" w:color="000000"/>
            </w:tcBorders>
            <w:shd w:fill="CCEEFF" w:val="clear"/>
            <w:vAlign w:val="center"/>
          </w:tcPr>
          <w:p>
            <w:pPr>
              <w:pStyle w:val="TableContents"/>
              <w:bidi w:val="0"/>
              <w:spacing w:before="0" w:after="283"/>
              <w:jc w:val="right"/>
              <w:rPr/>
            </w:pPr>
            <w:r>
              <w:rPr/>
              <w:t>3.95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vAlign w:val="center"/>
          </w:tcPr>
          <w:p>
            <w:pPr>
              <w:pStyle w:val="TableContents"/>
              <w:bidi w:val="0"/>
              <w:spacing w:before="0" w:after="283"/>
              <w:jc w:val="right"/>
              <w:rPr/>
            </w:pPr>
            <w:r>
              <w:rPr/>
              <w:t>35,900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43" w:type="dxa"/>
            <w:tcBorders>
              <w:bottom w:val="single" w:sz="2" w:space="0" w:color="000000"/>
            </w:tcBorders>
            <w:shd w:fill="CCEEFF" w:val="clear"/>
            <w:vAlign w:val="center"/>
          </w:tcPr>
          <w:p>
            <w:pPr>
              <w:pStyle w:val="TableContents"/>
              <w:bidi w:val="0"/>
              <w:spacing w:before="0" w:after="283"/>
              <w:jc w:val="left"/>
              <w:rPr/>
            </w:pPr>
            <w:r>
              <w:rPr/>
              <w:t>$</w:t>
            </w:r>
          </w:p>
        </w:tc>
        <w:tc>
          <w:tcPr>
            <w:tcW w:w="1226" w:type="dxa"/>
            <w:tcBorders>
              <w:bottom w:val="single" w:sz="2" w:space="0" w:color="000000"/>
            </w:tcBorders>
            <w:shd w:fill="CCEEFF" w:val="clear"/>
            <w:vAlign w:val="center"/>
          </w:tcPr>
          <w:p>
            <w:pPr>
              <w:pStyle w:val="TableContents"/>
              <w:bidi w:val="0"/>
              <w:spacing w:before="0" w:after="283"/>
              <w:jc w:val="right"/>
              <w:rPr/>
            </w:pPr>
            <w:r>
              <w:rPr/>
              <w:t>3.50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77" w:type="dxa"/>
            <w:tcBorders>
              <w:bottom w:val="single" w:sz="2" w:space="0" w:color="000000"/>
            </w:tcBorders>
            <w:shd w:fill="CCEEFF" w:val="clear"/>
            <w:vAlign w:val="center"/>
          </w:tcPr>
          <w:p>
            <w:pPr>
              <w:pStyle w:val="TableContents"/>
              <w:bidi w:val="0"/>
              <w:spacing w:before="0" w:after="283"/>
              <w:jc w:val="left"/>
              <w:rPr/>
            </w:pPr>
            <w:r>
              <w:rPr/>
              <w:t>$</w:t>
            </w:r>
          </w:p>
        </w:tc>
        <w:tc>
          <w:tcPr>
            <w:tcW w:w="1327" w:type="dxa"/>
            <w:tcBorders>
              <w:bottom w:val="single" w:sz="2" w:space="0" w:color="000000"/>
            </w:tcBorders>
            <w:shd w:fill="CCEEFF" w:val="clear"/>
            <w:vAlign w:val="center"/>
          </w:tcPr>
          <w:p>
            <w:pPr>
              <w:pStyle w:val="TableContents"/>
              <w:bidi w:val="0"/>
              <w:spacing w:before="0" w:after="283"/>
              <w:jc w:val="right"/>
              <w:rPr/>
            </w:pPr>
            <w:r>
              <w:rPr/>
              <w:t>5.21</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9" w:type="dxa"/>
            <w:tcBorders/>
            <w:shd w:fill="FFFFFF" w:val="clear"/>
            <w:tcMar>
              <w:bottom w:w="0" w:type="dxa"/>
            </w:tcMar>
            <w:vAlign w:val="center"/>
          </w:tcPr>
          <w:p>
            <w:pPr>
              <w:pStyle w:val="TableContents"/>
              <w:bidi w:val="0"/>
              <w:spacing w:before="0" w:after="0"/>
              <w:ind w:left="0" w:right="0" w:hanging="0"/>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237,000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43" w:type="dxa"/>
            <w:tcBorders/>
            <w:shd w:fill="FFFFFF" w:val="clear"/>
            <w:tcMar>
              <w:bottom w:w="0" w:type="dxa"/>
            </w:tcMar>
            <w:vAlign w:val="center"/>
          </w:tcPr>
          <w:p>
            <w:pPr>
              <w:pStyle w:val="TableContents"/>
              <w:bidi w:val="0"/>
              <w:spacing w:before="0" w:after="283"/>
              <w:jc w:val="left"/>
              <w:rPr/>
            </w:pPr>
            <w:r>
              <w:rPr/>
              <w:t>$</w:t>
            </w:r>
          </w:p>
        </w:tc>
        <w:tc>
          <w:tcPr>
            <w:tcW w:w="1226" w:type="dxa"/>
            <w:tcBorders/>
            <w:shd w:fill="FFFFFF" w:val="clear"/>
            <w:tcMar>
              <w:bottom w:w="0" w:type="dxa"/>
            </w:tcMar>
            <w:vAlign w:val="center"/>
          </w:tcPr>
          <w:p>
            <w:pPr>
              <w:pStyle w:val="TableContents"/>
              <w:bidi w:val="0"/>
              <w:spacing w:before="0" w:after="283"/>
              <w:jc w:val="right"/>
              <w:rPr/>
            </w:pPr>
            <w:r>
              <w:rPr/>
              <w:t>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77" w:type="dxa"/>
            <w:tcBorders/>
            <w:shd w:fill="FFFFFF" w:val="clear"/>
            <w:tcMar>
              <w:bottom w:w="0" w:type="dxa"/>
            </w:tcMar>
            <w:vAlign w:val="center"/>
          </w:tcPr>
          <w:p>
            <w:pPr>
              <w:pStyle w:val="TableContents"/>
              <w:bidi w:val="0"/>
              <w:spacing w:before="0" w:after="283"/>
              <w:jc w:val="left"/>
              <w:rPr/>
            </w:pPr>
            <w:r>
              <w:rPr/>
              <w:t>$</w:t>
            </w:r>
          </w:p>
        </w:tc>
        <w:tc>
          <w:tcPr>
            <w:tcW w:w="1327" w:type="dxa"/>
            <w:tcBorders/>
            <w:shd w:fill="FFFFFF" w:val="clear"/>
            <w:tcMar>
              <w:bottom w:w="0" w:type="dxa"/>
            </w:tcMar>
            <w:vAlign w:val="center"/>
          </w:tcPr>
          <w:p>
            <w:pPr>
              <w:pStyle w:val="TableContents"/>
              <w:bidi w:val="0"/>
              <w:spacing w:before="0" w:after="283"/>
              <w:jc w:val="right"/>
              <w:rPr/>
            </w:pPr>
            <w:r>
              <w:rPr/>
              <w:t>5.25</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209,000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3.74</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16,900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43" w:type="dxa"/>
            <w:tcBorders/>
            <w:shd w:fill="CCEEFF" w:val="clear"/>
            <w:tcMar>
              <w:bottom w:w="0" w:type="dxa"/>
            </w:tcMar>
            <w:vAlign w:val="center"/>
          </w:tcPr>
          <w:p>
            <w:pPr>
              <w:pStyle w:val="TableContents"/>
              <w:bidi w:val="0"/>
              <w:spacing w:before="0" w:after="283"/>
              <w:jc w:val="left"/>
              <w:rPr/>
            </w:pPr>
            <w:r>
              <w:rPr/>
              <w:t>$</w:t>
            </w:r>
          </w:p>
        </w:tc>
        <w:tc>
          <w:tcPr>
            <w:tcW w:w="1226" w:type="dxa"/>
            <w:tcBorders/>
            <w:shd w:fill="CCEEFF" w:val="clear"/>
            <w:tcMar>
              <w:bottom w:w="0" w:type="dxa"/>
            </w:tcMar>
            <w:vAlign w:val="center"/>
          </w:tcPr>
          <w:p>
            <w:pPr>
              <w:pStyle w:val="TableContents"/>
              <w:bidi w:val="0"/>
              <w:spacing w:before="0" w:after="283"/>
              <w:jc w:val="right"/>
              <w:rPr/>
            </w:pPr>
            <w:r>
              <w:rPr/>
              <w:t>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77" w:type="dxa"/>
            <w:tcBorders/>
            <w:shd w:fill="CCEEFF" w:val="clear"/>
            <w:tcMar>
              <w:bottom w:w="0" w:type="dxa"/>
            </w:tcMar>
            <w:vAlign w:val="center"/>
          </w:tcPr>
          <w:p>
            <w:pPr>
              <w:pStyle w:val="TableContents"/>
              <w:bidi w:val="0"/>
              <w:spacing w:before="0" w:after="283"/>
              <w:jc w:val="left"/>
              <w:rPr/>
            </w:pPr>
            <w:r>
              <w:rPr/>
              <w:t>$</w:t>
            </w:r>
          </w:p>
        </w:tc>
        <w:tc>
          <w:tcPr>
            <w:tcW w:w="1327" w:type="dxa"/>
            <w:tcBorders/>
            <w:shd w:fill="CCEEFF" w:val="clear"/>
            <w:tcMar>
              <w:bottom w:w="0" w:type="dxa"/>
            </w:tcMar>
            <w:vAlign w:val="center"/>
          </w:tcPr>
          <w:p>
            <w:pPr>
              <w:pStyle w:val="TableContents"/>
              <w:bidi w:val="0"/>
              <w:spacing w:before="0" w:after="283"/>
              <w:jc w:val="right"/>
              <w:rPr/>
            </w:pPr>
            <w:r>
              <w:rPr/>
              <w:t>5.12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201,900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3.74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16,900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43" w:type="dxa"/>
            <w:tcBorders/>
            <w:shd w:fill="FFFFFF" w:val="clear"/>
            <w:tcMar>
              <w:bottom w:w="0" w:type="dxa"/>
            </w:tcMar>
            <w:vAlign w:val="center"/>
          </w:tcPr>
          <w:p>
            <w:pPr>
              <w:pStyle w:val="TableContents"/>
              <w:bidi w:val="0"/>
              <w:spacing w:before="0" w:after="283"/>
              <w:jc w:val="left"/>
              <w:rPr/>
            </w:pPr>
            <w:r>
              <w:rPr/>
              <w:t>$</w:t>
            </w:r>
          </w:p>
        </w:tc>
        <w:tc>
          <w:tcPr>
            <w:tcW w:w="1226" w:type="dxa"/>
            <w:tcBorders/>
            <w:shd w:fill="FFFFFF" w:val="clear"/>
            <w:tcMar>
              <w:bottom w:w="0" w:type="dxa"/>
            </w:tcMar>
            <w:vAlign w:val="center"/>
          </w:tcPr>
          <w:p>
            <w:pPr>
              <w:pStyle w:val="TableContents"/>
              <w:bidi w:val="0"/>
              <w:spacing w:before="0" w:after="283"/>
              <w:jc w:val="right"/>
              <w:rPr/>
            </w:pPr>
            <w:r>
              <w:rPr/>
              <w:t>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77" w:type="dxa"/>
            <w:tcBorders/>
            <w:shd w:fill="FFFFFF" w:val="clear"/>
            <w:tcMar>
              <w:bottom w:w="0" w:type="dxa"/>
            </w:tcMar>
            <w:vAlign w:val="center"/>
          </w:tcPr>
          <w:p>
            <w:pPr>
              <w:pStyle w:val="TableContents"/>
              <w:bidi w:val="0"/>
              <w:spacing w:before="0" w:after="283"/>
              <w:jc w:val="left"/>
              <w:rPr/>
            </w:pPr>
            <w:r>
              <w:rPr/>
              <w:t>$</w:t>
            </w:r>
          </w:p>
        </w:tc>
        <w:tc>
          <w:tcPr>
            <w:tcW w:w="1327" w:type="dxa"/>
            <w:tcBorders/>
            <w:shd w:fill="FFFFFF" w:val="clear"/>
            <w:tcMar>
              <w:bottom w:w="0" w:type="dxa"/>
            </w:tcMar>
            <w:vAlign w:val="center"/>
          </w:tcPr>
          <w:p>
            <w:pPr>
              <w:pStyle w:val="TableContents"/>
              <w:bidi w:val="0"/>
              <w:spacing w:before="0" w:after="283"/>
              <w:jc w:val="right"/>
              <w:rPr/>
            </w:pPr>
            <w:r>
              <w:rPr/>
              <w:t>5.12</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vAlign w:val="center"/>
          </w:tcPr>
          <w:p>
            <w:pPr>
              <w:pStyle w:val="TableContents"/>
              <w:bidi w:val="0"/>
              <w:spacing w:before="0" w:after="283"/>
              <w:jc w:val="right"/>
              <w:rPr/>
            </w:pPr>
            <w:r>
              <w:rPr/>
              <w:t>151,200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CCEEFF" w:val="clear"/>
            <w:vAlign w:val="center"/>
          </w:tcPr>
          <w:p>
            <w:pPr>
              <w:pStyle w:val="TableContents"/>
              <w:bidi w:val="0"/>
              <w:spacing w:before="0" w:after="283"/>
              <w:jc w:val="left"/>
              <w:rPr/>
            </w:pPr>
            <w:r>
              <w:rPr/>
              <w:t>$</w:t>
            </w:r>
          </w:p>
        </w:tc>
        <w:tc>
          <w:tcPr>
            <w:tcW w:w="1160" w:type="dxa"/>
            <w:tcBorders>
              <w:bottom w:val="single" w:sz="2" w:space="0" w:color="000000"/>
            </w:tcBorders>
            <w:shd w:fill="CCEEFF" w:val="clear"/>
            <w:vAlign w:val="center"/>
          </w:tcPr>
          <w:p>
            <w:pPr>
              <w:pStyle w:val="TableContents"/>
              <w:bidi w:val="0"/>
              <w:spacing w:before="0" w:after="283"/>
              <w:jc w:val="right"/>
              <w:rPr/>
            </w:pPr>
            <w:r>
              <w:rPr/>
              <w:t>3.74</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vAlign w:val="center"/>
          </w:tcPr>
          <w:p>
            <w:pPr>
              <w:pStyle w:val="TableContents"/>
              <w:bidi w:val="0"/>
              <w:spacing w:before="0" w:after="283"/>
              <w:jc w:val="right"/>
              <w:rPr/>
            </w:pPr>
            <w:r>
              <w:rPr/>
              <w:t>11,500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43" w:type="dxa"/>
            <w:tcBorders>
              <w:bottom w:val="single" w:sz="2" w:space="0" w:color="000000"/>
            </w:tcBorders>
            <w:shd w:fill="CCEEFF" w:val="clear"/>
            <w:vAlign w:val="center"/>
          </w:tcPr>
          <w:p>
            <w:pPr>
              <w:pStyle w:val="TableContents"/>
              <w:bidi w:val="0"/>
              <w:spacing w:before="0" w:after="283"/>
              <w:jc w:val="left"/>
              <w:rPr/>
            </w:pPr>
            <w:r>
              <w:rPr/>
              <w:t>$</w:t>
            </w:r>
          </w:p>
        </w:tc>
        <w:tc>
          <w:tcPr>
            <w:tcW w:w="1226" w:type="dxa"/>
            <w:tcBorders>
              <w:bottom w:val="single" w:sz="2" w:space="0" w:color="000000"/>
            </w:tcBorders>
            <w:shd w:fill="CCEEFF" w:val="clear"/>
            <w:vAlign w:val="center"/>
          </w:tcPr>
          <w:p>
            <w:pPr>
              <w:pStyle w:val="TableContents"/>
              <w:bidi w:val="0"/>
              <w:spacing w:before="0" w:after="283"/>
              <w:jc w:val="right"/>
              <w:rPr/>
            </w:pPr>
            <w:r>
              <w:rPr/>
              <w:t>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77" w:type="dxa"/>
            <w:tcBorders>
              <w:bottom w:val="single" w:sz="2" w:space="0" w:color="000000"/>
            </w:tcBorders>
            <w:shd w:fill="CCEEFF" w:val="clear"/>
            <w:vAlign w:val="center"/>
          </w:tcPr>
          <w:p>
            <w:pPr>
              <w:pStyle w:val="TableContents"/>
              <w:bidi w:val="0"/>
              <w:spacing w:before="0" w:after="283"/>
              <w:jc w:val="left"/>
              <w:rPr/>
            </w:pPr>
            <w:r>
              <w:rPr/>
              <w:t>$</w:t>
            </w:r>
          </w:p>
        </w:tc>
        <w:tc>
          <w:tcPr>
            <w:tcW w:w="1327" w:type="dxa"/>
            <w:tcBorders>
              <w:bottom w:val="single" w:sz="2" w:space="0" w:color="000000"/>
            </w:tcBorders>
            <w:shd w:fill="CCEEFF" w:val="clear"/>
            <w:vAlign w:val="center"/>
          </w:tcPr>
          <w:p>
            <w:pPr>
              <w:pStyle w:val="TableContents"/>
              <w:bidi w:val="0"/>
              <w:spacing w:before="0" w:after="283"/>
              <w:jc w:val="right"/>
              <w:rPr/>
            </w:pPr>
            <w:r>
              <w:rPr/>
              <w:t>5.12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vAlign w:val="center"/>
          </w:tcPr>
          <w:p>
            <w:pPr>
              <w:pStyle w:val="TableContents"/>
              <w:bidi w:val="0"/>
              <w:spacing w:before="0" w:after="283"/>
              <w:jc w:val="right"/>
              <w:rPr/>
            </w:pPr>
            <w:r>
              <w:rPr/>
              <w:t>562,100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FFFFFF" w:val="clear"/>
            <w:vAlign w:val="center"/>
          </w:tcPr>
          <w:p>
            <w:pPr>
              <w:pStyle w:val="TableContents"/>
              <w:bidi w:val="0"/>
              <w:spacing w:before="0" w:after="283"/>
              <w:jc w:val="left"/>
              <w:rPr/>
            </w:pPr>
            <w:r>
              <w:rPr/>
              <w:t>$</w:t>
            </w:r>
          </w:p>
        </w:tc>
        <w:tc>
          <w:tcPr>
            <w:tcW w:w="1160" w:type="dxa"/>
            <w:tcBorders>
              <w:bottom w:val="single" w:sz="2" w:space="0" w:color="000000"/>
            </w:tcBorders>
            <w:shd w:fill="FFFFFF" w:val="clear"/>
            <w:vAlign w:val="center"/>
          </w:tcPr>
          <w:p>
            <w:pPr>
              <w:pStyle w:val="TableContents"/>
              <w:bidi w:val="0"/>
              <w:spacing w:before="0" w:after="283"/>
              <w:jc w:val="right"/>
              <w:rPr/>
            </w:pPr>
            <w:r>
              <w:rPr/>
              <w:t>3.74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vAlign w:val="center"/>
          </w:tcPr>
          <w:p>
            <w:pPr>
              <w:pStyle w:val="TableContents"/>
              <w:bidi w:val="0"/>
              <w:spacing w:before="0" w:after="283"/>
              <w:jc w:val="right"/>
              <w:rPr/>
            </w:pPr>
            <w:r>
              <w:rPr/>
              <w:t>282,300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43" w:type="dxa"/>
            <w:tcBorders>
              <w:bottom w:val="single" w:sz="2" w:space="0" w:color="000000"/>
            </w:tcBorders>
            <w:shd w:fill="FFFFFF" w:val="clear"/>
            <w:vAlign w:val="center"/>
          </w:tcPr>
          <w:p>
            <w:pPr>
              <w:pStyle w:val="TableContents"/>
              <w:bidi w:val="0"/>
              <w:spacing w:before="0" w:after="283"/>
              <w:jc w:val="left"/>
              <w:rPr/>
            </w:pPr>
            <w:r>
              <w:rPr/>
              <w:t>$</w:t>
            </w:r>
          </w:p>
        </w:tc>
        <w:tc>
          <w:tcPr>
            <w:tcW w:w="1226" w:type="dxa"/>
            <w:tcBorders>
              <w:bottom w:val="single" w:sz="2" w:space="0" w:color="000000"/>
            </w:tcBorders>
            <w:shd w:fill="FFFFFF" w:val="clear"/>
            <w:vAlign w:val="center"/>
          </w:tcPr>
          <w:p>
            <w:pPr>
              <w:pStyle w:val="TableContents"/>
              <w:bidi w:val="0"/>
              <w:spacing w:before="0" w:after="283"/>
              <w:jc w:val="right"/>
              <w:rPr/>
            </w:pPr>
            <w:r>
              <w:rPr/>
              <w:t>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77" w:type="dxa"/>
            <w:tcBorders>
              <w:bottom w:val="single" w:sz="2" w:space="0" w:color="000000"/>
            </w:tcBorders>
            <w:shd w:fill="FFFFFF" w:val="clear"/>
            <w:vAlign w:val="center"/>
          </w:tcPr>
          <w:p>
            <w:pPr>
              <w:pStyle w:val="TableContents"/>
              <w:bidi w:val="0"/>
              <w:spacing w:before="0" w:after="283"/>
              <w:jc w:val="left"/>
              <w:rPr/>
            </w:pPr>
            <w:r>
              <w:rPr/>
              <w:t>$</w:t>
            </w:r>
          </w:p>
        </w:tc>
        <w:tc>
          <w:tcPr>
            <w:tcW w:w="1327" w:type="dxa"/>
            <w:tcBorders>
              <w:bottom w:val="single" w:sz="2" w:space="0" w:color="000000"/>
            </w:tcBorders>
            <w:shd w:fill="FFFFFF" w:val="clear"/>
            <w:vAlign w:val="center"/>
          </w:tcPr>
          <w:p>
            <w:pPr>
              <w:pStyle w:val="TableContents"/>
              <w:bidi w:val="0"/>
              <w:spacing w:before="0" w:after="283"/>
              <w:jc w:val="right"/>
              <w:rPr/>
            </w:pPr>
            <w:r>
              <w:rPr/>
              <w:t>5.23</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9" w:type="dxa"/>
            <w:tcBorders/>
            <w:shd w:fill="CCEEFF" w:val="clear"/>
            <w:tcMar>
              <w:bottom w:w="0" w:type="dxa"/>
            </w:tcMar>
            <w:vAlign w:val="center"/>
          </w:tcPr>
          <w:p>
            <w:pPr>
              <w:pStyle w:val="TableContents"/>
              <w:bidi w:val="0"/>
              <w:spacing w:before="0" w:after="0"/>
              <w:ind w:left="0" w:right="0" w:hanging="0"/>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122,700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43" w:type="dxa"/>
            <w:tcBorders/>
            <w:shd w:fill="CCEEFF" w:val="clear"/>
            <w:tcMar>
              <w:bottom w:w="0" w:type="dxa"/>
            </w:tcMar>
            <w:vAlign w:val="center"/>
          </w:tcPr>
          <w:p>
            <w:pPr>
              <w:pStyle w:val="TableContents"/>
              <w:bidi w:val="0"/>
              <w:spacing w:before="0" w:after="283"/>
              <w:jc w:val="left"/>
              <w:rPr/>
            </w:pPr>
            <w:r>
              <w:rPr/>
              <w:t>$</w:t>
            </w:r>
          </w:p>
        </w:tc>
        <w:tc>
          <w:tcPr>
            <w:tcW w:w="1226" w:type="dxa"/>
            <w:tcBorders/>
            <w:shd w:fill="CCEEFF" w:val="clear"/>
            <w:tcMar>
              <w:bottom w:w="0" w:type="dxa"/>
            </w:tcMar>
            <w:vAlign w:val="center"/>
          </w:tcPr>
          <w:p>
            <w:pPr>
              <w:pStyle w:val="TableContents"/>
              <w:bidi w:val="0"/>
              <w:spacing w:before="0" w:after="283"/>
              <w:jc w:val="right"/>
              <w:rPr/>
            </w:pPr>
            <w:r>
              <w:rPr/>
              <w:t>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77" w:type="dxa"/>
            <w:tcBorders/>
            <w:shd w:fill="CCEEFF" w:val="clear"/>
            <w:tcMar>
              <w:bottom w:w="0" w:type="dxa"/>
            </w:tcMar>
            <w:vAlign w:val="center"/>
          </w:tcPr>
          <w:p>
            <w:pPr>
              <w:pStyle w:val="TableContents"/>
              <w:bidi w:val="0"/>
              <w:spacing w:before="0" w:after="283"/>
              <w:jc w:val="left"/>
              <w:rPr/>
            </w:pPr>
            <w:r>
              <w:rPr/>
              <w:t>$</w:t>
            </w:r>
          </w:p>
        </w:tc>
        <w:tc>
          <w:tcPr>
            <w:tcW w:w="1327" w:type="dxa"/>
            <w:tcBorders/>
            <w:shd w:fill="CCEEFF" w:val="clear"/>
            <w:tcMar>
              <w:bottom w:w="0" w:type="dxa"/>
            </w:tcMar>
            <w:vAlign w:val="center"/>
          </w:tcPr>
          <w:p>
            <w:pPr>
              <w:pStyle w:val="TableContents"/>
              <w:bidi w:val="0"/>
              <w:spacing w:before="0" w:after="283"/>
              <w:jc w:val="right"/>
              <w:rPr/>
            </w:pPr>
            <w:r>
              <w:rPr/>
              <w:t>4.62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118,100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3.49</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087"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43" w:type="dxa"/>
            <w:tcBorders/>
            <w:shd w:fill="FFFFFF" w:val="clear"/>
            <w:tcMar>
              <w:bottom w:w="0" w:type="dxa"/>
            </w:tcMar>
            <w:vAlign w:val="center"/>
          </w:tcPr>
          <w:p>
            <w:pPr>
              <w:pStyle w:val="TableContents"/>
              <w:bidi w:val="0"/>
              <w:spacing w:before="0" w:after="0"/>
              <w:ind w:left="0" w:right="0" w:hanging="0"/>
              <w:jc w:val="left"/>
              <w:rPr/>
            </w:pPr>
            <w:r>
              <w:rPr/>
              <w:t> </w:t>
            </w:r>
          </w:p>
        </w:tc>
        <w:tc>
          <w:tcPr>
            <w:tcW w:w="1226"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77" w:type="dxa"/>
            <w:tcBorders/>
            <w:shd w:fill="FFFFFF" w:val="clear"/>
            <w:tcMar>
              <w:bottom w:w="0" w:type="dxa"/>
            </w:tcMar>
            <w:vAlign w:val="center"/>
          </w:tcPr>
          <w:p>
            <w:pPr>
              <w:pStyle w:val="TableContents"/>
              <w:bidi w:val="0"/>
              <w:spacing w:before="0" w:after="0"/>
              <w:ind w:left="0" w:right="0" w:hanging="0"/>
              <w:jc w:val="left"/>
              <w:rPr/>
            </w:pPr>
            <w:r>
              <w:rPr/>
              <w:t> </w:t>
            </w:r>
          </w:p>
        </w:tc>
        <w:tc>
          <w:tcPr>
            <w:tcW w:w="1327"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115,100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3.49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shd w:fill="CCEEFF" w:val="clear"/>
            <w:tcMar>
              <w:bottom w:w="0" w:type="dxa"/>
            </w:tcMar>
            <w:vAlign w:val="center"/>
          </w:tcPr>
          <w:p>
            <w:pPr>
              <w:pStyle w:val="TableContents"/>
              <w:bidi w:val="0"/>
              <w:spacing w:before="0" w:after="0"/>
              <w:ind w:left="0" w:right="0" w:hanging="0"/>
              <w:jc w:val="left"/>
              <w:rPr/>
            </w:pPr>
            <w:r>
              <w:rPr/>
              <w:t> </w:t>
            </w:r>
          </w:p>
        </w:tc>
        <w:tc>
          <w:tcPr>
            <w:tcW w:w="108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43" w:type="dxa"/>
            <w:tcBorders/>
            <w:shd w:fill="CCEEFF" w:val="clear"/>
            <w:tcMar>
              <w:bottom w:w="0" w:type="dxa"/>
            </w:tcMar>
            <w:vAlign w:val="center"/>
          </w:tcPr>
          <w:p>
            <w:pPr>
              <w:pStyle w:val="TableContents"/>
              <w:bidi w:val="0"/>
              <w:spacing w:before="0" w:after="0"/>
              <w:ind w:left="0" w:right="0" w:hanging="0"/>
              <w:jc w:val="left"/>
              <w:rPr/>
            </w:pPr>
            <w:r>
              <w:rPr/>
              <w:t> </w:t>
            </w:r>
          </w:p>
        </w:tc>
        <w:tc>
          <w:tcPr>
            <w:tcW w:w="122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77" w:type="dxa"/>
            <w:tcBorders/>
            <w:shd w:fill="CCEEFF" w:val="clear"/>
            <w:tcMar>
              <w:bottom w:w="0" w:type="dxa"/>
            </w:tcMar>
            <w:vAlign w:val="center"/>
          </w:tcPr>
          <w:p>
            <w:pPr>
              <w:pStyle w:val="TableContents"/>
              <w:bidi w:val="0"/>
              <w:spacing w:before="0" w:after="0"/>
              <w:ind w:left="0" w:right="0" w:hanging="0"/>
              <w:jc w:val="left"/>
              <w:rPr/>
            </w:pPr>
            <w:r>
              <w:rPr/>
              <w:t> </w:t>
            </w:r>
          </w:p>
        </w:tc>
        <w:tc>
          <w:tcPr>
            <w:tcW w:w="1327"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vAlign w:val="center"/>
          </w:tcPr>
          <w:p>
            <w:pPr>
              <w:pStyle w:val="TableContents"/>
              <w:bidi w:val="0"/>
              <w:spacing w:before="0" w:after="283"/>
              <w:jc w:val="right"/>
              <w:rPr/>
            </w:pPr>
            <w:r>
              <w:rPr/>
              <w:t>37,900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FFFFFF" w:val="clear"/>
            <w:vAlign w:val="center"/>
          </w:tcPr>
          <w:p>
            <w:pPr>
              <w:pStyle w:val="TableContents"/>
              <w:bidi w:val="0"/>
              <w:spacing w:before="0" w:after="283"/>
              <w:jc w:val="left"/>
              <w:rPr/>
            </w:pPr>
            <w:r>
              <w:rPr/>
              <w:t>$</w:t>
            </w:r>
          </w:p>
        </w:tc>
        <w:tc>
          <w:tcPr>
            <w:tcW w:w="1160" w:type="dxa"/>
            <w:tcBorders>
              <w:bottom w:val="single" w:sz="2" w:space="0" w:color="000000"/>
            </w:tcBorders>
            <w:shd w:fill="FFFFFF" w:val="clear"/>
            <w:vAlign w:val="center"/>
          </w:tcPr>
          <w:p>
            <w:pPr>
              <w:pStyle w:val="TableContents"/>
              <w:bidi w:val="0"/>
              <w:spacing w:before="0" w:after="283"/>
              <w:jc w:val="right"/>
              <w:rPr/>
            </w:pPr>
            <w:r>
              <w:rPr/>
              <w:t>3.49</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4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26"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7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327" w:type="dxa"/>
            <w:tcBorders>
              <w:bottom w:val="single" w:sz="2" w:space="0" w:color="000000"/>
            </w:tcBorders>
            <w:shd w:fill="FFFFFF" w:val="cle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vAlign w:val="center"/>
          </w:tcPr>
          <w:p>
            <w:pPr>
              <w:pStyle w:val="TableContents"/>
              <w:bidi w:val="0"/>
              <w:spacing w:before="0" w:after="283"/>
              <w:jc w:val="right"/>
              <w:rPr/>
            </w:pPr>
            <w:r>
              <w:rPr/>
              <w:t>271,100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CCEEFF" w:val="clear"/>
            <w:vAlign w:val="center"/>
          </w:tcPr>
          <w:p>
            <w:pPr>
              <w:pStyle w:val="TableContents"/>
              <w:bidi w:val="0"/>
              <w:spacing w:before="0" w:after="283"/>
              <w:jc w:val="left"/>
              <w:rPr/>
            </w:pPr>
            <w:r>
              <w:rPr/>
              <w:t>$</w:t>
            </w:r>
          </w:p>
        </w:tc>
        <w:tc>
          <w:tcPr>
            <w:tcW w:w="1160" w:type="dxa"/>
            <w:tcBorders>
              <w:bottom w:val="single" w:sz="2" w:space="0" w:color="000000"/>
            </w:tcBorders>
            <w:shd w:fill="CCEEFF" w:val="clear"/>
            <w:vAlign w:val="center"/>
          </w:tcPr>
          <w:p>
            <w:pPr>
              <w:pStyle w:val="TableContents"/>
              <w:bidi w:val="0"/>
              <w:spacing w:before="0" w:after="283"/>
              <w:jc w:val="right"/>
              <w:rPr/>
            </w:pPr>
            <w:r>
              <w:rPr/>
              <w:t>3.49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87" w:type="dxa"/>
            <w:tcBorders>
              <w:bottom w:val="single" w:sz="2" w:space="0" w:color="000000"/>
            </w:tcBorders>
            <w:shd w:fill="CCEEFF" w:val="clear"/>
            <w:vAlign w:val="center"/>
          </w:tcPr>
          <w:p>
            <w:pPr>
              <w:pStyle w:val="TableContents"/>
              <w:bidi w:val="0"/>
              <w:spacing w:before="0" w:after="283"/>
              <w:jc w:val="right"/>
              <w:rPr/>
            </w:pPr>
            <w:r>
              <w:rPr/>
              <w:t>122,700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43" w:type="dxa"/>
            <w:tcBorders>
              <w:bottom w:val="single" w:sz="2" w:space="0" w:color="000000"/>
            </w:tcBorders>
            <w:shd w:fill="CCEEFF" w:val="clear"/>
            <w:vAlign w:val="center"/>
          </w:tcPr>
          <w:p>
            <w:pPr>
              <w:pStyle w:val="TableContents"/>
              <w:bidi w:val="0"/>
              <w:spacing w:before="0" w:after="283"/>
              <w:jc w:val="left"/>
              <w:rPr/>
            </w:pPr>
            <w:r>
              <w:rPr/>
              <w:t>$</w:t>
            </w:r>
          </w:p>
        </w:tc>
        <w:tc>
          <w:tcPr>
            <w:tcW w:w="1226" w:type="dxa"/>
            <w:tcBorders>
              <w:bottom w:val="single" w:sz="2" w:space="0" w:color="000000"/>
            </w:tcBorders>
            <w:shd w:fill="CCEEFF" w:val="clear"/>
            <w:vAlign w:val="center"/>
          </w:tcPr>
          <w:p>
            <w:pPr>
              <w:pStyle w:val="TableContents"/>
              <w:bidi w:val="0"/>
              <w:spacing w:before="0" w:after="283"/>
              <w:jc w:val="right"/>
              <w:rPr/>
            </w:pPr>
            <w:r>
              <w:rPr/>
              <w:t>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77" w:type="dxa"/>
            <w:tcBorders>
              <w:bottom w:val="single" w:sz="2" w:space="0" w:color="000000"/>
            </w:tcBorders>
            <w:shd w:fill="CCEEFF" w:val="clear"/>
            <w:vAlign w:val="center"/>
          </w:tcPr>
          <w:p>
            <w:pPr>
              <w:pStyle w:val="TableContents"/>
              <w:bidi w:val="0"/>
              <w:spacing w:before="0" w:after="283"/>
              <w:jc w:val="left"/>
              <w:rPr/>
            </w:pPr>
            <w:r>
              <w:rPr/>
              <w:t>$</w:t>
            </w:r>
          </w:p>
        </w:tc>
        <w:tc>
          <w:tcPr>
            <w:tcW w:w="1327" w:type="dxa"/>
            <w:tcBorders>
              <w:bottom w:val="single" w:sz="2" w:space="0" w:color="000000"/>
            </w:tcBorders>
            <w:shd w:fill="CCEEFF" w:val="clear"/>
            <w:vAlign w:val="center"/>
          </w:tcPr>
          <w:p>
            <w:pPr>
              <w:pStyle w:val="TableContents"/>
              <w:bidi w:val="0"/>
              <w:spacing w:before="0" w:after="283"/>
              <w:jc w:val="right"/>
              <w:rPr/>
            </w:pPr>
            <w:r>
              <w:rPr/>
              <w:t>4.62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The Company has not designated any derivative instruments as accounting hedges. Changes in fair value and cash settlements are recognized in earnings under “Net income (loss) on derivative contracts” in the Consolidated Statements of Operations. For the three months ended June 30, 2026, the Company recognized net income on derivative contracts of $5.0 million, comprising $8.1 million of realized settlement losses and a $13.1 million unrealized mark-to-market gain. For the six months ended June 30, 2026, the Company recognized a net loss on derivative contracts of $26.3 million, comprising $11.5 million of realized settlement losses and $14.8 million of unrealized mark-to-market losses. See Note 9 of the Company’s Quarterly Report on Form 10-Q for the quarter ended June 30, 2026 for complete disclosure.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CONTACTS:</w:t>
      </w:r>
    </w:p>
    <w:p>
      <w:pPr>
        <w:pStyle w:val="TextBody"/>
        <w:bidi w:val="0"/>
        <w:spacing w:before="0" w:after="0"/>
        <w:ind w:left="0" w:right="0" w:hanging="0"/>
        <w:jc w:val="both"/>
        <w:rPr/>
      </w:pPr>
      <w:r>
        <w:rPr>
          <w:rStyle w:val="StrongEmphasis"/>
          <w:rFonts w:ascii="times new roman" w:hAnsi="times new roman"/>
          <w:sz w:val="20"/>
        </w:rPr>
        <w:t xml:space="preserve">Media Contact: </w:t>
      </w:r>
    </w:p>
    <w:p>
      <w:pPr>
        <w:pStyle w:val="TextBody"/>
        <w:bidi w:val="0"/>
        <w:spacing w:before="0" w:after="0"/>
        <w:ind w:left="0" w:right="0" w:hanging="0"/>
        <w:jc w:val="both"/>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both"/>
        <w:rPr>
          <w:rFonts w:ascii="times new roman" w:hAnsi="times new roman"/>
          <w:sz w:val="20"/>
        </w:rPr>
      </w:pPr>
      <w:r>
        <w:rPr>
          <w:rFonts w:ascii="times new roman" w:hAnsi="times new roman"/>
          <w:sz w:val="20"/>
        </w:rPr>
        <w:t>(713) 221-1768</w:t>
      </w:r>
    </w:p>
    <w:p>
      <w:pPr>
        <w:pStyle w:val="TextBody"/>
        <w:bidi w:val="0"/>
        <w:spacing w:before="0" w:after="0"/>
        <w:ind w:left="0" w:right="0" w:hanging="0"/>
        <w:jc w:val="both"/>
        <w:rPr>
          <w:rFonts w:ascii="times new roman" w:hAnsi="times new roman"/>
          <w:sz w:val="20"/>
        </w:rPr>
      </w:pPr>
      <w:r>
        <w:rPr>
          <w:rFonts w:ascii="times new roman" w:hAnsi="times new roman"/>
          <w:sz w:val="20"/>
        </w:rPr>
        <w:t>PR@pedevco.com</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 xml:space="preserve">Investor Relations Contact: </w:t>
      </w:r>
    </w:p>
    <w:p>
      <w:pPr>
        <w:pStyle w:val="TextBody"/>
        <w:bidi w:val="0"/>
        <w:spacing w:before="0" w:after="0"/>
        <w:ind w:left="0" w:right="0" w:hanging="0"/>
        <w:jc w:val="both"/>
        <w:rPr>
          <w:rFonts w:ascii="times new roman" w:hAnsi="times new roman"/>
          <w:sz w:val="20"/>
        </w:rPr>
      </w:pPr>
      <w:r>
        <w:rPr>
          <w:rFonts w:ascii="times new roman" w:hAnsi="times new roman"/>
          <w:sz w:val="20"/>
        </w:rPr>
        <w:t>Sean Mansouri, CFA or Laurent Weil</w:t>
      </w:r>
    </w:p>
    <w:p>
      <w:pPr>
        <w:pStyle w:val="TextBody"/>
        <w:bidi w:val="0"/>
        <w:spacing w:before="0" w:after="0"/>
        <w:ind w:left="0" w:right="0" w:hanging="0"/>
        <w:jc w:val="both"/>
        <w:rPr>
          <w:rFonts w:ascii="times new roman" w:hAnsi="times new roman"/>
          <w:sz w:val="20"/>
        </w:rPr>
      </w:pPr>
      <w:r>
        <w:rPr>
          <w:rFonts w:ascii="times new roman" w:hAnsi="times new roman"/>
          <w:sz w:val="20"/>
        </w:rPr>
        <w:t>Elevate IR</w:t>
      </w:r>
    </w:p>
    <w:p>
      <w:pPr>
        <w:pStyle w:val="TextBody"/>
        <w:bidi w:val="0"/>
        <w:spacing w:before="0" w:after="0"/>
        <w:ind w:left="0" w:right="0" w:hanging="0"/>
        <w:jc w:val="both"/>
        <w:rPr>
          <w:rFonts w:ascii="times new roman" w:hAnsi="times new roman"/>
          <w:sz w:val="20"/>
        </w:rPr>
      </w:pPr>
      <w:r>
        <w:rPr>
          <w:rFonts w:ascii="times new roman" w:hAnsi="times new roman"/>
          <w:sz w:val="20"/>
        </w:rPr>
        <w:t>(720) 330-2829</w:t>
      </w:r>
    </w:p>
    <w:p>
      <w:pPr>
        <w:pStyle w:val="TextBody"/>
        <w:bidi w:val="0"/>
        <w:spacing w:before="0" w:after="0"/>
        <w:ind w:left="0" w:right="0" w:hanging="0"/>
        <w:jc w:val="both"/>
        <w:rPr>
          <w:rFonts w:ascii="times new roman" w:hAnsi="times new roman"/>
          <w:sz w:val="20"/>
        </w:rPr>
      </w:pPr>
      <w:r>
        <w:rPr>
          <w:rFonts w:ascii="times new roman" w:hAnsi="times new roman"/>
          <w:sz w:val="20"/>
        </w:rPr>
        <w:t>PED@elevate-ir.com</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Source: PEDEVCO Corp.</w:t>
      </w:r>
    </w:p>
    <w:p>
      <w:pPr>
        <w:pStyle w:val="TextBody"/>
        <w:bidi w:val="0"/>
        <w:spacing w:before="0" w:after="0"/>
        <w:ind w:left="0" w:right="0" w:hanging="0"/>
        <w:jc w:val="both"/>
        <w:rPr/>
      </w:pPr>
      <w:r>
        <w:rPr>
          <w:rStyle w:val="StrongEmphasis"/>
        </w:rPr>
        <w:t xml:space="preser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ind w:left="0" w:right="0" w:hanging="0"/>
              <w:jc w:val="left"/>
              <w:rPr/>
            </w:pPr>
            <w:r>
              <w:rPr/>
              <w:t> </w:t>
            </w:r>
          </w:p>
        </w:tc>
      </w:tr>
      <w:tr>
        <w:trPr/>
        <w:tc>
          <w:tcPr>
            <w:tcW w:w="3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r>
    </w:tbl>
    <w:p>
      <w:pPr>
        <w:pStyle w:val="TextBody"/>
        <w:bidi w:val="0"/>
        <w:spacing w:before="0" w:after="0"/>
        <w:ind w:left="0" w:right="0" w:hanging="0"/>
        <w:jc w:val="both"/>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5321</Words>
  <Characters>28239</Characters>
  <CharactersWithSpaces>34580</CharactersWithSpaces>
  <Paragraphs>3479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