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PEDEVCO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9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3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001-35922</w:t>
            </w:r>
          </w:p>
        </w:tc>
        <w:tc>
          <w:tcPr>
            <w:tcW w:w="960" w:type="dxa"/>
            <w:vAlign w:val="bottom"/>
          </w:tcPr>
          <w:p>
            <w:pPr>
              <w:spacing w:after="0"/>
              <w:rPr>
                <w:sz w:val="20"/>
                <w:szCs w:val="20"/>
                <w:color w:val="auto"/>
              </w:rPr>
            </w:pPr>
          </w:p>
        </w:tc>
        <w:tc>
          <w:tcPr>
            <w:tcW w:w="33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22-3755993</w:t>
            </w:r>
          </w:p>
        </w:tc>
      </w:tr>
      <w:tr>
        <w:trPr>
          <w:trHeight w:val="187"/>
        </w:trPr>
        <w:tc>
          <w:tcPr>
            <w:tcW w:w="2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tcPr>
          <w:p>
            <w:pPr>
              <w:jc w:val="center"/>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480" w:type="dxa"/>
            <w:vAlign w:val="bottom"/>
          </w:tcPr>
          <w:p>
            <w:pPr>
              <w:spacing w:after="0"/>
              <w:rPr>
                <w:sz w:val="16"/>
                <w:szCs w:val="16"/>
                <w:color w:val="auto"/>
              </w:rPr>
            </w:pPr>
          </w:p>
        </w:tc>
        <w:tc>
          <w:tcPr>
            <w:tcW w:w="2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2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4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9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575 N. Dairy Ashford, Suite 210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8"/>
        </w:trPr>
        <w:tc>
          <w:tcPr>
            <w:tcW w:w="39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6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32"/>
        </w:trPr>
        <w:tc>
          <w:tcPr>
            <w:tcW w:w="39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(713) 221-1768</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tcBorders>
              <w:top w:val="single" w:sz="8" w:color="auto"/>
              <w:bottom w:val="single" w:sz="8" w:color="auto"/>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700" w:type="dxa"/>
            <w:vAlign w:val="bottom"/>
            <w:tcBorders>
              <w:bottom w:val="single" w:sz="8" w:color="auto"/>
              <w:right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PED</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205740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 Awards</w:t>
      </w:r>
    </w:p>
    <w:p>
      <w:pPr>
        <w:spacing w:after="0" w:line="229" w:lineRule="exact"/>
        <w:rPr>
          <w:sz w:val="24"/>
          <w:szCs w:val="24"/>
          <w:color w:val="auto"/>
        </w:rPr>
      </w:pPr>
    </w:p>
    <w:p>
      <w:pPr>
        <w:jc w:val="both"/>
        <w:ind w:left="100" w:firstLine="511"/>
        <w:spacing w:after="0" w:line="255" w:lineRule="auto"/>
        <w:rPr>
          <w:sz w:val="20"/>
          <w:szCs w:val="20"/>
          <w:color w:val="auto"/>
        </w:rPr>
      </w:pPr>
      <w:r>
        <w:rPr>
          <w:rFonts w:ascii="Times New Roman" w:cs="Times New Roman" w:eastAsia="Times New Roman" w:hAnsi="Times New Roman"/>
          <w:sz w:val="18"/>
          <w:szCs w:val="18"/>
          <w:color w:val="auto"/>
        </w:rPr>
        <w:t>On June 22, 2026, PEDEVCO Corp.,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PEDEVCO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granted, after approval by the Compensation Committee of the Company’s Board of Directors, and in connection with the Company’s 2025 year annual compensation review, restricted stock units representing rights to receive an aggregate of 96,630 shares of Common Stock of the Company upon vesting and settlement thereof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and 38,320 target performance-based restricted stock units representing rights to receive an aggregate of up to 76,640 shares of Common Stock of the Company upon vesting and settlement thereof (“</w:t>
      </w:r>
      <w:r>
        <w:rPr>
          <w:rFonts w:ascii="Times New Roman" w:cs="Times New Roman" w:eastAsia="Times New Roman" w:hAnsi="Times New Roman"/>
          <w:sz w:val="18"/>
          <w:szCs w:val="18"/>
          <w:u w:val="single" w:color="auto"/>
          <w:color w:val="auto"/>
        </w:rPr>
        <w:t>PBRSUs</w:t>
      </w:r>
      <w:r>
        <w:rPr>
          <w:rFonts w:ascii="Times New Roman" w:cs="Times New Roman" w:eastAsia="Times New Roman" w:hAnsi="Times New Roman"/>
          <w:sz w:val="18"/>
          <w:szCs w:val="18"/>
          <w:color w:val="auto"/>
        </w:rPr>
        <w:t>,” and together with the RSUs, the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all under the Company’s 2021 Equity Incentive Plan, as amended to date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in consideration for services rendered, and to be rendered, by various officers and employees of the Company. The Plan has been registered on a Form S-8 Registration Statement previously filed by the Company.</w:t>
      </w:r>
    </w:p>
    <w:p>
      <w:pPr>
        <w:spacing w:after="0" w:line="18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as part of the grants was the grant of:</w:t>
      </w:r>
    </w:p>
    <w:p>
      <w:pPr>
        <w:sectPr>
          <w:pgSz w:w="11900" w:h="16838" w:orient="portrait"/>
          <w:cols w:equalWidth="0" w:num="1">
            <w:col w:w="11240"/>
          </w:cols>
          <w:pgMar w:left="320" w:top="671" w:right="339" w:bottom="0" w:gutter="0" w:footer="0" w:header="0"/>
        </w:sectPr>
      </w:pPr>
    </w:p>
    <w:bookmarkStart w:id="1" w:name="page2"/>
    <w:bookmarkEnd w:id="1"/>
    <w:p>
      <w:pPr>
        <w:jc w:val="both"/>
        <w:ind w:left="920" w:hanging="467"/>
        <w:spacing w:after="0" w:line="258"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22,830 RSUs to Mr. J. Douglas Schick, the President and Chief Executive Officer of the Company, which RSUs vest at the rate of (i) 1/3 of the total number of RSUs on the one (1) year anniversary of the January 1, 2026 vesting commencement date (the “</w:t>
      </w:r>
      <w:r>
        <w:rPr>
          <w:rFonts w:ascii="Times New Roman" w:cs="Times New Roman" w:eastAsia="Times New Roman" w:hAnsi="Times New Roman"/>
          <w:sz w:val="18"/>
          <w:szCs w:val="18"/>
          <w:u w:val="single" w:color="auto"/>
          <w:color w:val="auto"/>
        </w:rPr>
        <w:t>VCD</w:t>
      </w:r>
      <w:r>
        <w:rPr>
          <w:rFonts w:ascii="Times New Roman" w:cs="Times New Roman" w:eastAsia="Times New Roman" w:hAnsi="Times New Roman"/>
          <w:sz w:val="18"/>
          <w:szCs w:val="18"/>
          <w:color w:val="auto"/>
        </w:rPr>
        <w:t>”); (ii) 1/3 of the total number of RSUs on the two (2) year anniversary of the VCD; and (iii) 1/3 of the total number of RSUs on the three (3) year anniversary of the VCD (collectively, the “</w:t>
      </w:r>
      <w:r>
        <w:rPr>
          <w:rFonts w:ascii="Times New Roman" w:cs="Times New Roman" w:eastAsia="Times New Roman" w:hAnsi="Times New Roman"/>
          <w:sz w:val="18"/>
          <w:szCs w:val="18"/>
          <w:u w:val="single" w:color="auto"/>
          <w:color w:val="auto"/>
        </w:rPr>
        <w:t>RSU Vesting Terms</w:t>
      </w:r>
      <w:r>
        <w:rPr>
          <w:rFonts w:ascii="Times New Roman" w:cs="Times New Roman" w:eastAsia="Times New Roman" w:hAnsi="Times New Roman"/>
          <w:sz w:val="18"/>
          <w:szCs w:val="18"/>
          <w:color w:val="auto"/>
        </w:rPr>
        <w:t>”), subject to Mr. Schick’s continued service to the Company on such vesting dates, and subject to the terms and conditions of a Restricted Stock Unit Award Grant Agreement entered into between the Company and Mr. Schick;</w:t>
      </w:r>
    </w:p>
    <w:p>
      <w:pPr>
        <w:spacing w:after="0" w:line="183"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18,950 RSUs to Mr. Clark Moore, the Executive Vice President and General Counsel of the Company, all of which are subject to the RSU Vesting Terms, and subject to Mr. Moore’s continued service to the Company on such vesting dates, and subject to the terms and conditions of a Restricted Stock Unit Award Grant Agreement entered into between the Company and Mr. Moore;</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16,050 RSUs to Mr. Jody Crook, the Chief Commercial Officer of the Company, all of which are subject to the RSU Vesting Terms, and subject to Mr. Crook’s continued service to the Company on such vesting dates, and subject to the terms and conditions of a Restricted Stock Unit Award Grant Agreement entered into between the Company and Mr. Crook;</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38,800 RSUs to certain other non-executive employees of the Company, all of which are subject to the RSU Vesting Terms, subject to such recipient’s continued service to the Company on such vesting dates, and subject to the terms and conditions of a Restricted Stock Unit Award Grant Agreement entered into between the Company and each such recipients;</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55"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15,220 PBRSUs to Mr. Schick, which PBRSUs will be earned based on the performance metrics applicable to the Company’s performance-based equity award program previously approved for management for the fiscal 2026 through fiscal 2028 performance period, which generally provide for the cliff-vesting of 100% of the PBRSUs on December 31, 2028, subject to the grantee's continued service through that date and based on the Company’s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over the period, with payout ranging from 0–200% of target PBRSUs based on relative TSR percentile ranking against a defined peer group (the “</w:t>
      </w:r>
      <w:r>
        <w:rPr>
          <w:rFonts w:ascii="Times New Roman" w:cs="Times New Roman" w:eastAsia="Times New Roman" w:hAnsi="Times New Roman"/>
          <w:sz w:val="18"/>
          <w:szCs w:val="18"/>
          <w:u w:val="single" w:color="auto"/>
          <w:color w:val="auto"/>
        </w:rPr>
        <w:t>PBRSU Vesting Terms</w:t>
      </w:r>
      <w:r>
        <w:rPr>
          <w:rFonts w:ascii="Times New Roman" w:cs="Times New Roman" w:eastAsia="Times New Roman" w:hAnsi="Times New Roman"/>
          <w:sz w:val="18"/>
          <w:szCs w:val="18"/>
          <w:color w:val="auto"/>
        </w:rPr>
        <w:t>”)(i.e., up to two shares of common stock for each PBRSU granted), and further subject to the terms and conditions of a Performance-Based Restricted Stock Unit Award Grant Agreement entered into between the Company and Mr. Schick;</w:t>
      </w:r>
    </w:p>
    <w:p>
      <w:pPr>
        <w:spacing w:after="0" w:line="188"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5,270 PBRSUs to Mr. Moore, all of which PBRSUs will be subject to the PBRSU Vesting Terms, Mr. Moore’s continued service to the Company at the end of the performance period, and the terms and conditions of a Performance-Based Restricted Stock Unit Award Grant Agreement entered into between the Company and Mr. Moore;</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7,020 PBRSUs to Mr. Crook, all of which PBRSUs will be subject to the PBRSU Vesting Terms, Mr. Crook’s continued service to the Company at the end of the performance period, and the terms and conditions of a Performance-Based Restricted Stock Unit Award Grant Agreement entered into between the Company and Mr. Crook; and</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10,810 PBRSUs to certain other non-executive employees of the Company, all of which are subject to the PBRSU Vesting Terms, such recipient’s continued service to the Company at the end of the performance period, and the terms and conditions of a Performance-Based Restricted Stock Unit Award Grant Agreement entered into between the Company and each such recipients.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description of the RSUs and PBRSUs above is not complete and is qualified in its entirety by the form of Restricted Stock Unit Award Grant Agreement and form of Performance-Based Restricted Stock Unit Award Grant Agreement for the Awards granted on June 22, 2026, which are incorporated by reference herein as Exhibits 10.4 and 10.5, respectively, and which are incorporated by reference into this Item 5.02 in their entirety.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19685</wp:posOffset>
            </wp:positionV>
            <wp:extent cx="642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223" w:lineRule="exact"/>
        <w:rPr>
          <w:sz w:val="20"/>
          <w:szCs w:val="20"/>
          <w:color w:val="auto"/>
        </w:rPr>
      </w:pPr>
    </w:p>
    <w:p>
      <w:pPr>
        <w:ind w:left="300"/>
        <w:spacing w:after="0"/>
        <w:tabs>
          <w:tab w:leader="none" w:pos="1100" w:val="left"/>
        </w:tabs>
        <w:rPr>
          <w:rFonts w:ascii="Times New Roman" w:cs="Times New Roman" w:eastAsia="Times New Roman" w:hAnsi="Times New Roman"/>
          <w:sz w:val="17"/>
          <w:szCs w:val="17"/>
          <w:u w:val="single" w:color="auto"/>
          <w:color w:val="0000EE"/>
        </w:rPr>
      </w:pPr>
      <w:hyperlink r:id="rId15">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15">
        <w:r>
          <w:rPr>
            <w:rFonts w:ascii="Times New Roman" w:cs="Times New Roman" w:eastAsia="Times New Roman" w:hAnsi="Times New Roman"/>
            <w:sz w:val="17"/>
            <w:szCs w:val="17"/>
            <w:u w:val="single" w:color="auto"/>
            <w:color w:val="0000EE"/>
          </w:rPr>
          <w:t>PEDEVCO Corp. 2021 Equity Incentive Plan *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00"/>
        <w:spacing w:after="0"/>
        <w:tabs>
          <w:tab w:leader="none" w:pos="1100" w:val="left"/>
        </w:tabs>
        <w:rPr>
          <w:rFonts w:ascii="Times New Roman" w:cs="Times New Roman" w:eastAsia="Times New Roman" w:hAnsi="Times New Roman"/>
          <w:sz w:val="17"/>
          <w:szCs w:val="17"/>
          <w:u w:val="single" w:color="auto"/>
          <w:color w:val="0000EE"/>
        </w:rPr>
      </w:pPr>
      <w:hyperlink r:id="rId17">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17">
        <w:r>
          <w:rPr>
            <w:rFonts w:ascii="Times New Roman" w:cs="Times New Roman" w:eastAsia="Times New Roman" w:hAnsi="Times New Roman"/>
            <w:sz w:val="17"/>
            <w:szCs w:val="17"/>
            <w:u w:val="single" w:color="auto"/>
            <w:color w:val="0000EE"/>
          </w:rPr>
          <w:t>First Amendment to PEDEVCO Corp. 2021 Equity Incentive Plan* (2)</w:t>
        </w:r>
      </w:hyperlink>
    </w:p>
    <w:p>
      <w:pPr>
        <w:spacing w:after="0" w:line="9" w:lineRule="exact"/>
        <w:rPr>
          <w:sz w:val="20"/>
          <w:szCs w:val="20"/>
          <w:color w:val="auto"/>
        </w:rPr>
      </w:pPr>
    </w:p>
    <w:p>
      <w:pPr>
        <w:ind w:left="300"/>
        <w:spacing w:after="0"/>
        <w:tabs>
          <w:tab w:leader="none" w:pos="1100" w:val="left"/>
        </w:tabs>
        <w:rPr>
          <w:rFonts w:ascii="Times New Roman" w:cs="Times New Roman" w:eastAsia="Times New Roman" w:hAnsi="Times New Roman"/>
          <w:sz w:val="17"/>
          <w:szCs w:val="17"/>
          <w:u w:val="single" w:color="auto"/>
          <w:color w:val="0000EE"/>
        </w:rPr>
      </w:pPr>
      <w:hyperlink r:id="rId18">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r:id="rId18">
        <w:r>
          <w:rPr>
            <w:rFonts w:ascii="Times New Roman" w:cs="Times New Roman" w:eastAsia="Times New Roman" w:hAnsi="Times New Roman"/>
            <w:sz w:val="17"/>
            <w:szCs w:val="17"/>
            <w:u w:val="single" w:color="auto"/>
            <w:color w:val="0000EE"/>
          </w:rPr>
          <w:t>Second Amendment to PEDEVCO Corp. 2021 Equity Incentive Plan *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10.4#</w:t>
      </w:r>
      <w:r>
        <w:rPr>
          <w:sz w:val="20"/>
          <w:szCs w:val="20"/>
          <w:color w:val="auto"/>
        </w:rPr>
        <w:tab/>
      </w:r>
      <w:r>
        <w:rPr>
          <w:rFonts w:ascii="Times New Roman" w:cs="Times New Roman" w:eastAsia="Times New Roman" w:hAnsi="Times New Roman"/>
          <w:sz w:val="17"/>
          <w:szCs w:val="17"/>
          <w:u w:val="single" w:color="auto"/>
          <w:color w:val="0000EE"/>
        </w:rPr>
        <w:t>PEDEVCO Corp. 2021 Equity Incentive Plan Form of Restricted Stock Unit Award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10.5#</w:t>
      </w:r>
      <w:r>
        <w:rPr>
          <w:sz w:val="20"/>
          <w:szCs w:val="20"/>
          <w:color w:val="auto"/>
        </w:rPr>
        <w:tab/>
      </w:r>
      <w:r>
        <w:rPr>
          <w:rFonts w:ascii="Times New Roman" w:cs="Times New Roman" w:eastAsia="Times New Roman" w:hAnsi="Times New Roman"/>
          <w:sz w:val="17"/>
          <w:szCs w:val="17"/>
          <w:u w:val="single" w:color="auto"/>
          <w:color w:val="0000EE"/>
        </w:rPr>
        <w:t>PEDEVCO Corp. 2021 Equity Incentive Plan Form of Performance-Based Restricted Stock Unit Award Agreement *</w:t>
      </w:r>
    </w:p>
    <w:p>
      <w:pPr>
        <w:spacing w:after="0" w:line="9" w:lineRule="exact"/>
        <w:rPr>
          <w:sz w:val="20"/>
          <w:szCs w:val="20"/>
          <w:color w:val="auto"/>
        </w:rPr>
      </w:pPr>
    </w:p>
    <w:p>
      <w:pPr>
        <w:ind w:left="26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10.6#</w:t>
      </w:r>
      <w:r>
        <w:rPr>
          <w:sz w:val="20"/>
          <w:szCs w:val="20"/>
          <w:color w:val="auto"/>
        </w:rPr>
        <w:tab/>
      </w:r>
      <w:r>
        <w:rPr>
          <w:rFonts w:ascii="Times New Roman" w:cs="Times New Roman" w:eastAsia="Times New Roman" w:hAnsi="Times New Roman"/>
          <w:sz w:val="17"/>
          <w:szCs w:val="17"/>
          <w:u w:val="single" w:color="auto"/>
          <w:color w:val="0000EE"/>
        </w:rPr>
        <w:t>PEDEVCO Corp. 2021 Equity Incentive Plan Form of Performance-Based Restricted Stock Unit Award Agreement Performance Matrix*</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u w:val="single" w:color="auto"/>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220" w:firstLine="318"/>
        <w:spacing w:after="0" w:line="490" w:lineRule="auto"/>
        <w:tabs>
          <w:tab w:leader="none" w:pos="11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Current Report on Form 8-K *Indicates management contract or compensatory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17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September 1, 2021, as an exhibit to the Company’s Current Report on Form 8-K and incorporated herein by reference (File No. 001-35922).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August 30, 2024, as an exhibit to the Company’s Current Report on Form 8-K and incorporated herein by reference (File No. 001-35922).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November 3, 2025, as an exhibit to the Company’s Current Report on Form 8-K and incorporated herein by reference (File No. 001-35922).</w:t>
      </w:r>
    </w:p>
    <w:p>
      <w:pPr>
        <w:sectPr>
          <w:pgSz w:w="11900" w:h="16838" w:orient="portrait"/>
          <w:cols w:equalWidth="0" w:num="1">
            <w:col w:w="11240"/>
          </w:cols>
          <w:pgMar w:left="320" w:top="337" w:right="339" w:bottom="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55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PEDEVCO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 Douglas Schick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 Douglas Schick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553" w:right="639" w:bottom="1440" w:gutter="0" w:footer="0" w:header="0"/>
          <w:type w:val="continuous"/>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PEDEVCO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AWARD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Capitalized but otherwise undefined terms in this Notice of Restricted Stock Unit Award and the attached Restricted Stock Unit Award Agreement shall have the same defined meanings as in the PEDEVCO CORP. 2021 Equity Incentive Plan (as amended from time to time)(the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Grantee Name: 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 _______________________________________________</w:t>
      </w:r>
    </w:p>
    <w:p>
      <w:pPr>
        <w:spacing w:after="0" w:line="225" w:lineRule="exact"/>
        <w:rPr>
          <w:sz w:val="20"/>
          <w:szCs w:val="20"/>
          <w:color w:val="auto"/>
        </w:rPr>
      </w:pPr>
    </w:p>
    <w:p>
      <w:pPr>
        <w:ind w:right="340" w:firstLine="607"/>
        <w:spacing w:after="0" w:line="268" w:lineRule="auto"/>
        <w:rPr>
          <w:sz w:val="20"/>
          <w:szCs w:val="20"/>
          <w:color w:val="auto"/>
        </w:rPr>
      </w:pPr>
      <w:r>
        <w:rPr>
          <w:rFonts w:ascii="Times New Roman" w:cs="Times New Roman" w:eastAsia="Times New Roman" w:hAnsi="Times New Roman"/>
          <w:sz w:val="18"/>
          <w:szCs w:val="18"/>
          <w:color w:val="auto"/>
        </w:rPr>
        <w:t>You have been granted Restricted Stock Units (the “</w:t>
      </w: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RSUs</w:t>
      </w:r>
      <w:r>
        <w:rPr>
          <w:rFonts w:ascii="Times New Roman" w:cs="Times New Roman" w:eastAsia="Times New Roman" w:hAnsi="Times New Roman"/>
          <w:sz w:val="18"/>
          <w:szCs w:val="18"/>
          <w:color w:val="auto"/>
        </w:rPr>
        <w:t>”), each representing an unfunded, unsecured right to receive one share of Common Stock upon vesting and settlement, subject to the terms and conditions of the Plan and the attached Restricted Stock Unit Award Agreement, as follows: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Date of Grant: 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Vesting Commencement Date:___________________________________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Number of RSUs Granted:_________________________________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Agreement Date:_____________________________________________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of Settlement: Shares of Common Stock</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Vesting Schedule: One-third (1/3) of the RSUs shall vest on each of the first, second, and third anniversaries of the Vesting Commencement Date, subject to Grantee’s continued service with the Company through each such vesting date. The RSUs shall also be subject to the termination and accelerated vesting provisions as, and to the extent, set forth in [Grantee’s Employment Agreement with the Company] [the Summary of Termination and Vesting Treatment provided to Grantee by the Company in connection with this Award].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PEDEVCO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AWARD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RESTRICTED STOCK UNIT AWARD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the Agreement Date specified on the Notice of Restricted Stock Unit Award is made by and between PEDEVCO CORP., a Texas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grantee named in the Notice of Restricted Stock Unit Award (the “</w:t>
      </w:r>
      <w:r>
        <w:rPr>
          <w:rFonts w:ascii="Times New Roman" w:cs="Times New Roman" w:eastAsia="Times New Roman" w:hAnsi="Times New Roman"/>
          <w:sz w:val="18"/>
          <w:szCs w:val="18"/>
          <w:b w:val="1"/>
          <w:bCs w:val="1"/>
          <w:u w:val="single" w:color="auto"/>
          <w:color w:val="auto"/>
        </w:rPr>
        <w:t>Grantee,</w:t>
      </w:r>
      <w:r>
        <w:rPr>
          <w:rFonts w:ascii="Times New Roman" w:cs="Times New Roman" w:eastAsia="Times New Roman" w:hAnsi="Times New Roman"/>
          <w:sz w:val="18"/>
          <w:szCs w:val="18"/>
          <w:color w:val="auto"/>
        </w:rPr>
        <w:t>” which term as used herein shall be deemed to include any successor to Grantee by will or by the laws of descent and distribution, unless the context shall otherwise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Plan, the Company, acting through the Administrator, approved the issuance to Grantee, effective as of the date set forth above, of an award of the number of Restricted Stock Units specified next to the “Total Number of RSUs Granted” in the attached Notice of Restricted Stock Unit Award (which is expressly incorporated herein and made a part hereof, the “</w:t>
      </w:r>
      <w:r>
        <w:rPr>
          <w:rFonts w:ascii="Times New Roman" w:cs="Times New Roman" w:eastAsia="Times New Roman" w:hAnsi="Times New Roman"/>
          <w:sz w:val="18"/>
          <w:szCs w:val="18"/>
          <w:b w:val="1"/>
          <w:bCs w:val="1"/>
          <w:u w:val="single" w:color="auto"/>
          <w:color w:val="auto"/>
        </w:rPr>
        <w:t>Notice of Restricted Stock Unit Award</w:t>
      </w:r>
      <w:r>
        <w:rPr>
          <w:rFonts w:ascii="Times New Roman" w:cs="Times New Roman" w:eastAsia="Times New Roman" w:hAnsi="Times New Roman"/>
          <w:sz w:val="18"/>
          <w:szCs w:val="18"/>
          <w:color w:val="auto"/>
        </w:rPr>
        <w:t>”) upon the terms and conditions hereinafter set forth.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premises and undertakings hereinafter set forth, the parties agree as follows:</w:t>
      </w:r>
    </w:p>
    <w:p>
      <w:pPr>
        <w:spacing w:after="0" w:line="225" w:lineRule="exact"/>
        <w:rPr>
          <w:sz w:val="20"/>
          <w:szCs w:val="20"/>
          <w:color w:val="auto"/>
        </w:rPr>
      </w:pPr>
    </w:p>
    <w:p>
      <w:pPr>
        <w:jc w:val="both"/>
        <w:ind w:firstLine="8"/>
        <w:spacing w:after="0" w:line="268" w:lineRule="auto"/>
        <w:tabs>
          <w:tab w:leader="none" w:pos="1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Stock Units</w:t>
      </w:r>
      <w:r>
        <w:rPr>
          <w:rFonts w:ascii="Times New Roman" w:cs="Times New Roman" w:eastAsia="Times New Roman" w:hAnsi="Times New Roman"/>
          <w:sz w:val="18"/>
          <w:szCs w:val="18"/>
          <w:color w:val="auto"/>
        </w:rPr>
        <w:t>. The Company hereby grants to Grantee, and Grantee hereby accepts, the “Total Number of RSUs Granted”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Notice of Restricted Stock Unit Award. Each RSU represents an unfunded, unsecured right to receive one share of Common Stock upon vesting and settlement, subject to the terms of the Plan and this Agreement.</w:t>
      </w:r>
    </w:p>
    <w:p>
      <w:pPr>
        <w:spacing w:after="0" w:line="17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Grantee shall have no voting rights, rights to receive dividends, or any other rights as a stockholder of the Company with respect to the shares of Common Stock underlying the RSUs, unless and until such shares have been issued to Grantee upon settlement of vested RSUs.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No dividend equivalents shall be paid or accrued on the RSUs.</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Restricted Stock Units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0" w:gutter="0" w:footer="0" w:header="0"/>
        </w:sectPr>
      </w:pPr>
    </w:p>
    <w:bookmarkStart w:id="4" w:name="page5"/>
    <w:bookmarkEnd w:id="4"/>
    <w:p>
      <w:pPr>
        <w:ind w:firstLine="656"/>
        <w:spacing w:after="0" w:line="286" w:lineRule="auto"/>
        <w:tabs>
          <w:tab w:leader="none" w:pos="8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forfeiture until vested. The RSUs which have vested and are no longer subject to forfeiture are referred to as “</w:t>
      </w:r>
      <w:r>
        <w:rPr>
          <w:rFonts w:ascii="Times New Roman" w:cs="Times New Roman" w:eastAsia="Times New Roman" w:hAnsi="Times New Roman"/>
          <w:sz w:val="18"/>
          <w:szCs w:val="18"/>
          <w:b w:val="1"/>
          <w:bCs w:val="1"/>
          <w:u w:val="single" w:color="auto"/>
          <w:color w:val="auto"/>
        </w:rPr>
        <w:t>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RSUs.</w:t>
      </w:r>
      <w:r>
        <w:rPr>
          <w:rFonts w:ascii="Times New Roman" w:cs="Times New Roman" w:eastAsia="Times New Roman" w:hAnsi="Times New Roman"/>
          <w:sz w:val="18"/>
          <w:szCs w:val="18"/>
          <w:color w:val="auto"/>
        </w:rPr>
        <w:t>” Vested RSUs shall be settled in accordance with Section 4. All RSUs which have not become Vested RSUs are referred to as “</w:t>
      </w:r>
      <w:r>
        <w:rPr>
          <w:rFonts w:ascii="Times New Roman" w:cs="Times New Roman" w:eastAsia="Times New Roman" w:hAnsi="Times New Roman"/>
          <w:sz w:val="18"/>
          <w:szCs w:val="18"/>
          <w:b w:val="1"/>
          <w:bCs w:val="1"/>
          <w:u w:val="single" w:color="auto"/>
          <w:color w:val="auto"/>
        </w:rPr>
        <w:t>Nonvested RSUs.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will vest and become nonforfeitable in accordance with the Vesting Schedule contained in the Notice of Restricted Stock Unit Award.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may not be sold, transferred, assigned, pledged, or otherwise disposed of, directly or indirectly, whether by operation of law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Forfeiture of Nonvested RSUs;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Forfeiture of Nonvested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herein or in another written agreement between Grantee and the Company, if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with the Company ceases for any reason, as determined in good faith by the Administrator, any Nonvested RSUs will be automatically forfeited to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2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Vested RSUs</w:t>
      </w:r>
      <w:r>
        <w:rPr>
          <w:rFonts w:ascii="Times New Roman" w:cs="Times New Roman" w:eastAsia="Times New Roman" w:hAnsi="Times New Roman"/>
          <w:sz w:val="18"/>
          <w:szCs w:val="18"/>
          <w:color w:val="auto"/>
        </w:rPr>
        <w:t>. As soon as administratively practicable following, and in no event later than the earlier of (i) the 70th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date on which RSUs vest (pursuant to the regular vesting schedule or pursuant to an applicable vesting acceleration provision), and (ii) the 15th day of the third month following the end of the year the applicable Performance Period expired, the Company shall issue to Grantee one share of Common Stock (in book-entry form) for each Vested RSU.</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Issuance</w:t>
      </w:r>
      <w:r>
        <w:rPr>
          <w:rFonts w:ascii="Times New Roman" w:cs="Times New Roman" w:eastAsia="Times New Roman" w:hAnsi="Times New Roman"/>
          <w:sz w:val="18"/>
          <w:szCs w:val="18"/>
          <w:color w:val="auto"/>
        </w:rPr>
        <w:t>. Shares of Common Stock issued upon settlement of Vested RSUs shall be issued in book-entry (uncertificated)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upon issuance, shall be freely transferable, subject only to applicable securities laws and Company policies (including insider-trading, window-period, and clawback policies).</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Recapitalizations, Exchanges, Mergers,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apply to the full extent set forth herein with respect to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capital stock of the Company or successor of the Company which may be issued in respect of, in exchange for, or in substitution for the RSUs by reason of any stock dividend, split, reverse split, combination, recapitalization, reclassification, merger, consolidation or otherwise which does not terminate this Agreement. Except as otherwise provided herein, this Agreement is not intended to confer upon any other person except the parties hereto any rights or remedies hereunder.</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 Representations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Agreement</w:t>
      </w:r>
      <w:r>
        <w:rPr>
          <w:rFonts w:ascii="Times New Roman" w:cs="Times New Roman" w:eastAsia="Times New Roman" w:hAnsi="Times New Roman"/>
          <w:sz w:val="18"/>
          <w:szCs w:val="18"/>
          <w:color w:val="auto"/>
        </w:rPr>
        <w:t>. This Agreement when executed and delivered by Grantee will constitute a valid and legally binding obligation of Grantee which is enforceable in accordance with its terms.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The address set forth on the Notice of Restricted Stock Unit Award is Grantee’s current address and accurately sets forth Grantee’s place of residence.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Grantee’s own tax advisors the federal, state, local and foreign tax consequences of this Award and the transactions contemplated by this Agreement. Grantee is relying solely on such advisors and not on any statements or representations of the Company or any of its agents. Grantee understands that Grantee (and not the Company) is responsible for Grantee’s own tax liability that may arise as a result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8"/>
        <w:spacing w:after="0" w:line="262" w:lineRule="auto"/>
        <w:tabs>
          <w:tab w:leader="none" w:pos="2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Contract Created</w:t>
      </w:r>
      <w:r>
        <w:rPr>
          <w:rFonts w:ascii="Times New Roman" w:cs="Times New Roman" w:eastAsia="Times New Roman" w:hAnsi="Times New Roman"/>
          <w:sz w:val="18"/>
          <w:szCs w:val="18"/>
          <w:color w:val="auto"/>
        </w:rPr>
        <w:t>. The grant of RSUs shall not be construed as granting to Grantee any right with respect to continuance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any service with the Company or any of its subsidiaries. The right of the Company or any of its subsidiaries to terminate at will Grantee’s employment or terminate Grantee’s service at any time (whether by dismissal, discharge or otherwise), with or without cause, is specifically reserved, subject to any other written employment or other agreement to which the Company and Grantee may be a party.</w:t>
      </w:r>
    </w:p>
    <w:p>
      <w:pPr>
        <w:spacing w:after="0" w:line="176" w:lineRule="exact"/>
        <w:rPr>
          <w:rFonts w:ascii="Times New Roman" w:cs="Times New Roman" w:eastAsia="Times New Roman" w:hAnsi="Times New Roman"/>
          <w:sz w:val="18"/>
          <w:szCs w:val="18"/>
          <w:color w:val="auto"/>
        </w:rPr>
      </w:pPr>
    </w:p>
    <w:p>
      <w:pPr>
        <w:jc w:val="both"/>
        <w:ind w:firstLine="8"/>
        <w:spacing w:after="0" w:line="254" w:lineRule="auto"/>
        <w:tabs>
          <w:tab w:leader="none" w:pos="1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grant, vesting and settlement of the RSUs, and any payments or share deliveries made hereunder, shall be subject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provisions of Section 14 of the Plan. Without limiting the foregoing, the Company has the power and the right to deduct or withhold from any amounts or shares otherwise deliverable to Grantee, or to require Grantee to remit to the Company, an amount sufficient to satisfy all Federal, state, local and foreign taxes (including the Grantee’s FICA obligation) required by law to be withheld with respect to the RSUs. In addition, the Company may, in its sole discretion, satisfy any such withholding obligation by arranging for the sale, on behalf of Grantee, of a number of shares otherwise deliverable to Grantee in respect of the RSUs through a broker-assisted open market sale (including a “sell-to-cover” transaction) pursuant to such procedures as the Administrator may establish from time to time, with the net proceeds of such sale remitted to the Company in satisfaction of the applicable withholding obligation. By accepting this Award, Grantee authorizes and directs the Company and any brokerage firm designated by the Company to effect such sale and to remit the proceeds thereof to the Company, and agrees to execute any additional documentation reasonably necessary to effectuate such sale.</w:t>
      </w:r>
    </w:p>
    <w:p>
      <w:pPr>
        <w:spacing w:after="0" w:line="188" w:lineRule="exact"/>
        <w:rPr>
          <w:rFonts w:ascii="Times New Roman" w:cs="Times New Roman" w:eastAsia="Times New Roman" w:hAnsi="Times New Roman"/>
          <w:sz w:val="18"/>
          <w:szCs w:val="18"/>
          <w:color w:val="auto"/>
        </w:rPr>
      </w:pPr>
    </w:p>
    <w:p>
      <w:pPr>
        <w:jc w:val="both"/>
        <w:ind w:firstLine="8"/>
        <w:spacing w:after="0" w:line="268"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The RSUs are being granted pursuant to the terms of the Plan, and are to be interpreted in accordance therewith. The Administrator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 and construe this Agreement and the Plan, and any action, decision, interpretation or determination made in good faith by the Administrator will be final and binding on the Company and Grantee.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618" w:gutter="0" w:footer="0" w:header="0"/>
        </w:sectPr>
      </w:pPr>
    </w:p>
    <w:bookmarkStart w:id="5" w:name="page6"/>
    <w:bookmarkEnd w:id="5"/>
    <w:p>
      <w:pPr>
        <w:jc w:val="both"/>
        <w:ind w:firstLine="8"/>
        <w:spacing w:after="0" w:line="268"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or other communications which are required or permitted hereunder will be in writing and sufficient if (i) personally delivered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by telecopy (including email), (ii) sent by nationally-recognized overnight courier or (iii) sent by registered or certified mail, postage prepaid, return receipt requested, addressed as follows:</w:t>
      </w:r>
    </w:p>
    <w:p>
      <w:pPr>
        <w:spacing w:after="0" w:line="17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Grantee, to the address (or telecopy number/email address) set forth on the Notice of Restricted Stock Unit Award or in the Company’s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files; and</w:t>
      </w:r>
    </w:p>
    <w:p>
      <w:pPr>
        <w:spacing w:after="0" w:line="206" w:lineRule="exact"/>
        <w:rPr>
          <w:rFonts w:ascii="Times New Roman" w:cs="Times New Roman" w:eastAsia="Times New Roman" w:hAnsi="Times New Roman"/>
          <w:sz w:val="17"/>
          <w:szCs w:val="17"/>
          <w:color w:val="auto"/>
        </w:rPr>
      </w:pPr>
    </w:p>
    <w:p>
      <w:pPr>
        <w:ind w:firstLine="656"/>
        <w:spacing w:after="0" w:line="282" w:lineRule="auto"/>
        <w:tabs>
          <w:tab w:leader="none" w:pos="9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its principal executive office as specified in any report filed by the Company with the Securities and Exchange Commission or to such address as the Company may have specified to the Grantee in writing, Attention: Corporate Secretary;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 to such other address as the party to whom notice is to be given may have furnished to the other party in writing in accordance herewith. Any such communication will be deemed to have been given (i) when delivered, if personally delivered, or when telecopied/emailed, if telecopied/emailed, (ii) on the first Business Day (as hereinafter defined) after dispatch, if sent by nationally-recognized overnight courier and (iii) on the fifth Business Day following the date on which the piece of mail containing such communication is posted, if sent by mail. As used herein,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that is not a Saturday, Sunday or a day on which banking institutions in the city to which the notice or communication is to be sent are not required to be open.</w:t>
      </w:r>
    </w:p>
    <w:p>
      <w:pPr>
        <w:spacing w:after="0" w:line="179" w:lineRule="exact"/>
        <w:rPr>
          <w:sz w:val="20"/>
          <w:szCs w:val="20"/>
          <w:color w:val="auto"/>
        </w:rPr>
      </w:pPr>
    </w:p>
    <w:p>
      <w:pPr>
        <w:jc w:val="both"/>
        <w:ind w:firstLine="8"/>
        <w:spacing w:after="0" w:line="259" w:lineRule="auto"/>
        <w:tabs>
          <w:tab w:leader="none" w:pos="2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Grantee expressly agrees that the Company will be irreparably damaged if the provisions of this Agreement and the Plan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enforced. Upon a breach or threatened breach of the terms, covenants and/or conditions of this Agreement or the Plan by Grantee, the Company will, in addition to all other remedies, be entitled to a temporary or permanent injunction, without showing any actual damage, and/or decree for specific performance, in accordance with the provisions hereof and thereof. The Administrator has the power to determine what constitutes a breach or threatened breach of this Agreement or the Plan. Any such determinations will be final and conclusive and binding upon Grantee.</w:t>
      </w:r>
    </w:p>
    <w:p>
      <w:pPr>
        <w:spacing w:after="0" w:line="179"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waiver of any breach or condition of this Agreement will be deemed to be a waiver of any other or subsequent breach or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of like or different nature.</w:t>
      </w:r>
    </w:p>
    <w:p>
      <w:pPr>
        <w:spacing w:after="0" w:line="154"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 Undertaking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hereby agrees to take whatever additional actions and execute whatever additional documents the Company may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judgment deem necessary or advisable in order to carry out or effect one or more of the obligations or restrictions imposed on Grantee pursuant to the express provisions of this Agreement.</w:t>
      </w:r>
    </w:p>
    <w:p>
      <w:pPr>
        <w:spacing w:after="0" w:line="17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Grantee are subject to modification and termination in certain events as provided in this Agreement and the Plan.</w:t>
      </w:r>
    </w:p>
    <w:p>
      <w:pPr>
        <w:spacing w:after="0" w:line="225"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governed by, and construed in accordance with, the laws of the State of Texas, without giving effect to its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choice of law principles that might otherwise refer construction or interpretation of this Agreement to the substantive law of another jurisdiction.</w:t>
      </w:r>
    </w:p>
    <w:p>
      <w:pPr>
        <w:spacing w:after="0" w:line="154" w:lineRule="exact"/>
        <w:rPr>
          <w:rFonts w:ascii="Times New Roman" w:cs="Times New Roman" w:eastAsia="Times New Roman" w:hAnsi="Times New Roman"/>
          <w:sz w:val="18"/>
          <w:szCs w:val="18"/>
          <w:color w:val="auto"/>
        </w:rPr>
      </w:pPr>
    </w:p>
    <w:p>
      <w:pPr>
        <w:jc w:val="both"/>
        <w:ind w:firstLine="8"/>
        <w:spacing w:after="0" w:line="257"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will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instrument. Facsimile, portable document format (.pdf), or other electronic transmission (including any electronic signature complying with the U.S. Electronic Signatures in Global and National Commerce Act (E-SIGN), the Uniform Electronic Transactions Act (UETA), or other applicable law, including signatures transmitted through DocuSign, Adobe Sign or similar electronic signature platforms) of this Agreement shall constitute valid and binding execution and delivery of this Agreement for all purposes, with the same force and effect as an original manually executed signature.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53" w:lineRule="auto"/>
        <w:tabs>
          <w:tab w:leader="none" w:pos="2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Notice of Restricted Stock Unit Award, the Plan, Grantee’s Employment Agreement with the Company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if applicable, the Summary of Termination and Vesting Treatment provided to Grantee in connection with this Award, constitute the entire agreement between the parties with respect to the subject matter hereof, and supersede all previously written or oral negotiations, commitments, representations and agreements with respect thereto. Certain capitalized terms used but not defined in this Agreement have the meanings assigned to them in the Grantee's employment agreement, offer letter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Any amendment, restatement or replacement of such agreement shall automatically apply for purposes of the definitions incorporated into this Agreement unless expressly provided otherwise therein or herein. In the event any terms or provisions of this Agreement conflict with the terms and provisions set forth in the Grantee's employment agreement, offer letter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the terms and provisions of such employment agreement, offer letter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shall govern and control.</w:t>
      </w:r>
    </w:p>
    <w:p>
      <w:pPr>
        <w:spacing w:after="0" w:line="185"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one or more of the provisions of this Agreement should, for any reason, be held to be invalid, illegal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such invalidity, illegality or unenforceability will not affect any other provisions of this Agreement, and this Agreement will be construed as if such invalid, illegal or unenforceable provision had never been contained herein.</w:t>
      </w:r>
    </w:p>
    <w:p>
      <w:pPr>
        <w:spacing w:after="0" w:line="170" w:lineRule="exact"/>
        <w:rPr>
          <w:rFonts w:ascii="Times New Roman" w:cs="Times New Roman" w:eastAsia="Times New Roman" w:hAnsi="Times New Roman"/>
          <w:sz w:val="18"/>
          <w:szCs w:val="18"/>
          <w:color w:val="auto"/>
        </w:rPr>
      </w:pPr>
    </w:p>
    <w:p>
      <w:pPr>
        <w:jc w:val="both"/>
        <w:ind w:firstLine="8"/>
        <w:spacing w:after="0" w:line="256" w:lineRule="auto"/>
        <w:tabs>
          <w:tab w:leader="none" w:pos="2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Compliance</w:t>
      </w:r>
      <w:r>
        <w:rPr>
          <w:rFonts w:ascii="Times New Roman" w:cs="Times New Roman" w:eastAsia="Times New Roman" w:hAnsi="Times New Roman"/>
          <w:sz w:val="18"/>
          <w:szCs w:val="18"/>
          <w:color w:val="auto"/>
        </w:rPr>
        <w:t>. This Agreement and the RSUs granted hereunder are intended to comply with, or be exempt from, Section 409A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shall be construed and administered accordingly. Each payment hereunder shall be treated as a separate payment for purposes of Section 409A of the Code. If the RSUs constitute nonqualified deferred compensation subject to Section 409A of the Code, then, for purposes of this Agreement, any reference to “service with the Company ceas[ing]”, “termination of employment,” “termination of service,” or similar terms shall mean a “separation from service” within the meaning of Treasury Regulation Section 1.409A-1(h). Notwithstanding anything to the contrary, if Grantee is a “specified employee” (within the meaning of Treasury Regulation Section 1.409A-1(i)) as of Grantee’s separation from service, any payment hereunder that constitutes nonqualified deferred compensation subject to Section 409A of the Code and is payable on account of such separation from service shall be delayed until</w:t>
      </w:r>
    </w:p>
    <w:p>
      <w:pPr>
        <w:sectPr>
          <w:pgSz w:w="11900" w:h="16838" w:orient="portrait"/>
          <w:cols w:equalWidth="0" w:num="1">
            <w:col w:w="11240"/>
          </w:cols>
          <w:pgMar w:left="320" w:top="333" w:right="339" w:bottom="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the earlier of (i) the first business day of the seventh month following Grantee’s separation from service or (ii) Grantee’s death, at which time all delayed payments shall be paid in a lump sum. In no event shall the Company, any Subsidiary, or any of their respective directors, officers, employees, or agents have any liability to Grantee for any taxes, interest, or penalties imposed under Section 409A of the Code. If the RSUs constitute nonqualified deferred compensation subject to Section 409A of the Code and the period within which the RSUs may be paid spans two calendar years, then settlement shall occur in the second calendar year, in order to comply with Section 409A of the Code. If the RSUs become vested in connection with a Change in Control and such Change in Control does not constitute a “change in control event” within the meaning of Section 409A of the Code that qualifies as a permissible payment event, then the vested RSUs shall not be settled upon such Change in Control. Instead, such vested RSUs shall be settled on the earliest date on which settlement would otherwise have occurred under this Agreement that constitutes a permissible payment event under Section 409A of the Code.</w:t>
      </w:r>
    </w:p>
    <w:p>
      <w:pPr>
        <w:spacing w:after="0" w:line="188" w:lineRule="exact"/>
        <w:rPr>
          <w:sz w:val="20"/>
          <w:szCs w:val="20"/>
          <w:color w:val="auto"/>
        </w:rPr>
      </w:pPr>
    </w:p>
    <w:p>
      <w:pPr>
        <w:ind w:firstLine="8"/>
        <w:spacing w:after="0" w:line="286" w:lineRule="auto"/>
        <w:tabs>
          <w:tab w:leader="none" w:pos="2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The RSUs, and any shares or cash delivered hereunder (and any proceeds therefrom), shall be subject to any clawback, recoupment,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policy adopted by the Company from time to time, including those in effect as of the date of this Agreement.</w:t>
      </w:r>
    </w:p>
    <w:p>
      <w:pPr>
        <w:spacing w:after="0" w:line="154" w:lineRule="exact"/>
        <w:rPr>
          <w:rFonts w:ascii="Times New Roman" w:cs="Times New Roman" w:eastAsia="Times New Roman" w:hAnsi="Times New Roman"/>
          <w:sz w:val="18"/>
          <w:szCs w:val="18"/>
          <w:color w:val="auto"/>
        </w:rPr>
      </w:pPr>
    </w:p>
    <w:p>
      <w:pPr>
        <w:jc w:val="both"/>
        <w:ind w:firstLine="8"/>
        <w:spacing w:after="0" w:line="259"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Grantee consents to the electronic delivery of the Plan, this Agreement, the Plan prospectus, account statements, proxy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documents the Company is required to or determined to deliver to Plan participants or its security holders, whether by email, Company website, or third-party stock plan administrator platform. Grantee may request a paper copy of any such document at no charge, and may revoke this consent, by written notice to the Company’s Secretary. Grantee’s electronic signature (including click-through acceptance) shall have the same force and effect as a manual signature.</w:t>
      </w:r>
    </w:p>
    <w:p>
      <w:pPr>
        <w:spacing w:after="0" w:line="179"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HEREBY EXPRESSLY, IRREVOCABLY AND UNCONDITIONALLY WAIVES TRIAL BY JURY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LEGAL ACTION OR PROCEEDING RELATING TO THIS AGREEMENT AND FOR ANY COUNTERCLAIM THEREIN.</w:t>
      </w:r>
    </w:p>
    <w:p>
      <w:pPr>
        <w:spacing w:after="0" w:line="154" w:lineRule="exact"/>
        <w:rPr>
          <w:rFonts w:ascii="Times New Roman" w:cs="Times New Roman" w:eastAsia="Times New Roman" w:hAnsi="Times New Roman"/>
          <w:sz w:val="18"/>
          <w:szCs w:val="18"/>
          <w:color w:val="auto"/>
        </w:rPr>
      </w:pPr>
    </w:p>
    <w:p>
      <w:pPr>
        <w:jc w:val="both"/>
        <w:ind w:firstLine="8"/>
        <w:spacing w:after="0" w:line="262" w:lineRule="auto"/>
        <w:tabs>
          <w:tab w:leader="none" w:pos="3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the Grantee’s participation in the Plan, or the Grantee’s acquisition of the RSUs, or the Grantee’s acquisition or sale of the underlying shares of Common Stock. The Grantee should consult with his or her own personal tax, legal and financial advisors regarding his or her participation in the Plan before taking any action related to the Plan.</w:t>
      </w:r>
    </w:p>
    <w:p>
      <w:pPr>
        <w:spacing w:after="0" w:line="176"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To the extent the Plan and/or the Common Stock issuable pursuant to this Agreement are registered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hereby acknowledges receipt of or the right to receive a document providing the information required by Rule 428(b)(1) promulgated under the Securities Act, which includes the prospectus relating to the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Restricted Stock Unit Award Agreement as of the date first written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PEDEVCO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8890</wp:posOffset>
            </wp:positionV>
            <wp:extent cx="2494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Clark R. Moore</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EVP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2494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1012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PEDEVCO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PERFORMANCE-BASED RESTRICTED STOCK UNIT AWARD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Capitalized but otherwise undefined terms in this Notice of Performance-Based Restricted Stock Unit Award and the attached Performance-Based Restricted Stock Unit Award Agreement shall have the same defined meanings as in the PEDEVCO CORP. 2021 Equity Incentive Plan (as amended from time to time)(the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Grantee Name: 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 _______________________________________________</w:t>
      </w:r>
    </w:p>
    <w:p>
      <w:pPr>
        <w:spacing w:after="0" w:line="225" w:lineRule="exact"/>
        <w:rPr>
          <w:sz w:val="20"/>
          <w:szCs w:val="20"/>
          <w:color w:val="auto"/>
        </w:rPr>
      </w:pPr>
    </w:p>
    <w:p>
      <w:pPr>
        <w:ind w:right="100" w:firstLine="607"/>
        <w:spacing w:after="0" w:line="268" w:lineRule="auto"/>
        <w:rPr>
          <w:sz w:val="20"/>
          <w:szCs w:val="20"/>
          <w:color w:val="auto"/>
        </w:rPr>
      </w:pPr>
      <w:r>
        <w:rPr>
          <w:rFonts w:ascii="Times New Roman" w:cs="Times New Roman" w:eastAsia="Times New Roman" w:hAnsi="Times New Roman"/>
          <w:sz w:val="18"/>
          <w:szCs w:val="18"/>
          <w:color w:val="auto"/>
        </w:rPr>
        <w:t>You have been granted performance-based Restricted Stock Units (the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each representing an unfunded, unsecured right to receive one share of Common Stock upon vesting and settlement, subject to the terms and conditions of the Plan and the attached Performance-Based Restricted Stock Unit Award Agreement, as follows: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Date of Grant: 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Performance Period: As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to the attached Performance-Based Restricted Stock Unit Award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Target Number of PSUs Granted:_________________________________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Agreement Date:_____________________________________________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Initial Value:__________________________________________________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of Settlement: Shares of Common Stock</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Vesting Schedule and Performance Goals: As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to the attached Performance-Based Restricted Stock Unit Award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PEDEVCO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PERFORMANCE-BASED RESTRICTED STOCK UNIT AWARD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PERFORMANCE-BASED RESTRICTED STOCK UNIT AWARD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the Agreement Date specified on the Notice of Performance-Based Restricted Stock Unit Award is made by and between PEDEVCO CORP., a Texas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grantee named in the Notice of Performance-Based Restricted Stock Unit Award (the “</w:t>
      </w:r>
      <w:r>
        <w:rPr>
          <w:rFonts w:ascii="Times New Roman" w:cs="Times New Roman" w:eastAsia="Times New Roman" w:hAnsi="Times New Roman"/>
          <w:sz w:val="18"/>
          <w:szCs w:val="18"/>
          <w:b w:val="1"/>
          <w:bCs w:val="1"/>
          <w:u w:val="single" w:color="auto"/>
          <w:color w:val="auto"/>
        </w:rPr>
        <w:t>Grantee,</w:t>
      </w:r>
      <w:r>
        <w:rPr>
          <w:rFonts w:ascii="Times New Roman" w:cs="Times New Roman" w:eastAsia="Times New Roman" w:hAnsi="Times New Roman"/>
          <w:sz w:val="18"/>
          <w:szCs w:val="18"/>
          <w:color w:val="auto"/>
        </w:rPr>
        <w:t>” which term as used herein shall be deemed to include any successor to Grantee by will or by the laws of descent and distribution, unless the context shall otherwise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Plan, the Company, acting through the Administrator, approved the issuance to Grantee, effective as of the date set forth above, of an award of the number of PSUs specified next to the “Target Number of PSUs Granted” in the attached Notice of Performance-Based Restricted Stock Unit Award (which is expressly incorporated herein and made a part hereof, the “</w:t>
      </w:r>
      <w:r>
        <w:rPr>
          <w:rFonts w:ascii="Times New Roman" w:cs="Times New Roman" w:eastAsia="Times New Roman" w:hAnsi="Times New Roman"/>
          <w:sz w:val="18"/>
          <w:szCs w:val="18"/>
          <w:b w:val="1"/>
          <w:bCs w:val="1"/>
          <w:u w:val="single" w:color="auto"/>
          <w:color w:val="auto"/>
        </w:rPr>
        <w:t>Notice of Performance-Based Restricted Stock Unit Award</w:t>
      </w:r>
      <w:r>
        <w:rPr>
          <w:rFonts w:ascii="Times New Roman" w:cs="Times New Roman" w:eastAsia="Times New Roman" w:hAnsi="Times New Roman"/>
          <w:sz w:val="18"/>
          <w:szCs w:val="18"/>
          <w:color w:val="auto"/>
        </w:rPr>
        <w:t>”) upon the terms and conditions hereinafter set forth.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Award is a performance-based Award granted under the Plan, and vesting of the PSUs is subject to both (a) the Grantee’s continued service and (b) the Company’s attainment of the performance goals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Certain capitalized terms used below have the meanings given to such terms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premises and undertakings hereinafter set forth, the parties agree as follows:</w:t>
      </w:r>
    </w:p>
    <w:p>
      <w:pPr>
        <w:spacing w:after="0" w:line="225" w:lineRule="exact"/>
        <w:rPr>
          <w:sz w:val="20"/>
          <w:szCs w:val="20"/>
          <w:color w:val="auto"/>
        </w:rPr>
      </w:pPr>
    </w:p>
    <w:p>
      <w:pPr>
        <w:jc w:val="both"/>
        <w:ind w:firstLine="8"/>
        <w:spacing w:after="0" w:line="256" w:lineRule="auto"/>
        <w:tabs>
          <w:tab w:leader="none" w:pos="1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PSUs</w:t>
      </w:r>
      <w:r>
        <w:rPr>
          <w:rFonts w:ascii="Times New Roman" w:cs="Times New Roman" w:eastAsia="Times New Roman" w:hAnsi="Times New Roman"/>
          <w:sz w:val="18"/>
          <w:szCs w:val="18"/>
          <w:color w:val="auto"/>
        </w:rPr>
        <w:t>. The Company hereby grants to Grantee, and Grantee hereby accepts, the “Target Number of PSUs Granted” set forth in the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Performance-Based Restricted Stock Unit Award (the “</w:t>
      </w:r>
      <w:r>
        <w:rPr>
          <w:rFonts w:ascii="Times New Roman" w:cs="Times New Roman" w:eastAsia="Times New Roman" w:hAnsi="Times New Roman"/>
          <w:sz w:val="18"/>
          <w:szCs w:val="18"/>
          <w:b w:val="1"/>
          <w:bCs w:val="1"/>
          <w:u w:val="single" w:color="auto"/>
          <w:color w:val="auto"/>
        </w:rPr>
        <w:t>Target PSUs</w:t>
      </w:r>
      <w:r>
        <w:rPr>
          <w:rFonts w:ascii="Times New Roman" w:cs="Times New Roman" w:eastAsia="Times New Roman" w:hAnsi="Times New Roman"/>
          <w:sz w:val="18"/>
          <w:szCs w:val="18"/>
          <w:color w:val="auto"/>
        </w:rPr>
        <w:t xml:space="preserve">”). Depending on the Company’s achievement of the performance goals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 number of Target PSUs (ranging from 0% to 200% of the Target PSUs) will be deemed earned, but not vested, and become “</w:t>
      </w:r>
      <w:r>
        <w:rPr>
          <w:rFonts w:ascii="Times New Roman" w:cs="Times New Roman" w:eastAsia="Times New Roman" w:hAnsi="Times New Roman"/>
          <w:sz w:val="18"/>
          <w:szCs w:val="18"/>
          <w:b w:val="1"/>
          <w:bCs w:val="1"/>
          <w:u w:val="single" w:color="auto"/>
          <w:color w:val="auto"/>
        </w:rPr>
        <w:t>Earned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The Earned PSUs will be eligible to vest subject to Grantee’s continued service with the Company as of the end of the Performance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Earned PSU represents an unfunded, unsecured right to receive one share of Common Stock upon vesting and settlement, subject to the terms of the Plan, this Agreement,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Any PSUs that do not become Earned PSUs shall be automatically forfeited and cancelled without consideration as of the end of the Performance Period.</w:t>
      </w:r>
    </w:p>
    <w:p>
      <w:pPr>
        <w:spacing w:after="0" w:line="18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17" w:right="339" w:bottom="0" w:gutter="0" w:footer="0" w:header="0"/>
        </w:sectPr>
      </w:pPr>
    </w:p>
    <w:bookmarkStart w:id="8" w:name="page9"/>
    <w:bookmarkEnd w:id="8"/>
    <w:p>
      <w:pPr>
        <w:jc w:val="both"/>
        <w:ind w:firstLine="656"/>
        <w:spacing w:after="0" w:line="282"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Grantee shall have no voting rights, rights to receive dividends, or any other rights as a stockholder of the Company with respect to the shares of Common Stock underlying the PSUs unless and until such shares have been issued to Grantee upon settlement of vested PSUs.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No dividend equivalents shall be paid or accrued on the PSUs.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PSUs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are subject to forfeiture until vested. The Earned PSUs which have vested and are no longer subject to forfeiture are referred to as “</w:t>
      </w:r>
      <w:r>
        <w:rPr>
          <w:rFonts w:ascii="Times New Roman" w:cs="Times New Roman" w:eastAsia="Times New Roman" w:hAnsi="Times New Roman"/>
          <w:sz w:val="18"/>
          <w:szCs w:val="18"/>
          <w:b w:val="1"/>
          <w:bCs w:val="1"/>
          <w:u w:val="single" w:color="auto"/>
          <w:color w:val="auto"/>
        </w:rPr>
        <w:t>Vested PSUs.</w:t>
      </w:r>
      <w:r>
        <w:rPr>
          <w:rFonts w:ascii="Times New Roman" w:cs="Times New Roman" w:eastAsia="Times New Roman" w:hAnsi="Times New Roman"/>
          <w:sz w:val="18"/>
          <w:szCs w:val="18"/>
          <w:color w:val="auto"/>
        </w:rPr>
        <w:t>” Vested PSUs shall be settled in accordance with Section 4. All PSUs which have not become Vested PSUs are referred to as “</w:t>
      </w:r>
      <w:r>
        <w:rPr>
          <w:rFonts w:ascii="Times New Roman" w:cs="Times New Roman" w:eastAsia="Times New Roman" w:hAnsi="Times New Roman"/>
          <w:sz w:val="18"/>
          <w:szCs w:val="18"/>
          <w:b w:val="1"/>
          <w:bCs w:val="1"/>
          <w:u w:val="single" w:color="auto"/>
          <w:color w:val="auto"/>
        </w:rPr>
        <w:t>Nonvested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PSUs will vest and become nonforfeitable contingent on both continued service and achievement of performance goals, in each case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subject to the vesting schedules set forth therein.</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may not be sold, transferred, assigned, pledged, or otherwise disposed of, directly or indirectly, whether by operation of law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Change in Control, the PSUs shall be governed by Section 6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Forfeiture of Nonvested PSUs;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7" w:lineRule="auto"/>
        <w:tabs>
          <w:tab w:leader="none" w:pos="91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Forfeiture of Nonvested PSUs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herein or in another written agreement between Grantee and the Company, if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with the Company ceases for any reason, as determined in good faith by the Administrator, any Nonvested PSUs (whether or not such PSUs are then Earned PSUs) will be automatically forfeited to the Company. For the avoidance of doubt, any PSUs that do not become Earned PSUs upon certification by the Administrator of the level of achievement of the applicable performance goals (as set forth in Exhibit A) shall be automatically forfeited as of the date of such certification, without any payment or consideration therefor, and the Grantee shall have no further rights with respect to such forfeited PSUs.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2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Vested PSUs</w:t>
      </w:r>
      <w:r>
        <w:rPr>
          <w:rFonts w:ascii="Times New Roman" w:cs="Times New Roman" w:eastAsia="Times New Roman" w:hAnsi="Times New Roman"/>
          <w:sz w:val="18"/>
          <w:szCs w:val="18"/>
          <w:color w:val="auto"/>
        </w:rPr>
        <w:t>. As soon as administratively practicable following, and in no event later than the earlier of (i) the 70th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date on which PSUs vest (pursuant to the regular vesting schedule or pursuant to an applicable vesting acceleration provision), and (ii) the 15th day of the third month following the end of the year the applicable Performance Period expired, the Company shall issue to Grantee one share of Common Stock (in book-entry form) for each Vested PSU.</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Issuance</w:t>
      </w:r>
      <w:r>
        <w:rPr>
          <w:rFonts w:ascii="Times New Roman" w:cs="Times New Roman" w:eastAsia="Times New Roman" w:hAnsi="Times New Roman"/>
          <w:sz w:val="18"/>
          <w:szCs w:val="18"/>
          <w:color w:val="auto"/>
        </w:rPr>
        <w:t>. Shares of Common Stock issued upon settlement of Vested PSUs shall be issued in book-entry (uncertificated)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upon issuance, shall be freely transferable, subject only to applicable securities laws and Company policies (including insider-trading, window-period, and clawback policies).</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Recapitalizations, Exchanges, Mergers,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apply to the full extent set forth herein with respect to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capital stock of the Company or successor of the Company which may be issued in respect of, in exchange for, or in substitution for the PSUs by reason of any stock dividend, split, reverse split, combination, recapitalization, reclassification, merger, consolidation or otherwise which does not terminate this Agreement. Except as otherwise provided herein, this Agreement is not intended to confer upon any other person except the parties hereto any rights or remedies hereunder.</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 Representations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Agreement</w:t>
      </w:r>
      <w:r>
        <w:rPr>
          <w:rFonts w:ascii="Times New Roman" w:cs="Times New Roman" w:eastAsia="Times New Roman" w:hAnsi="Times New Roman"/>
          <w:sz w:val="18"/>
          <w:szCs w:val="18"/>
          <w:color w:val="auto"/>
        </w:rPr>
        <w:t>. This Agreement when executed and delivered by Grantee will constitute a valid and legally binding obligation of Grantee which is enforceable in accordance with its terms.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The address set forth on the Notice of Performance-Based Restricted Stock Unit Award is Grantee’s current address and accurately sets forth Grantee’s place of residence.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Grantee’s own tax advisors the federal, state, local and foreign tax consequences of this Award and the transactions contemplated by this Agreement. Grantee is relying solely on such advisors and not on any statements or representations of the Company or any of its agents. Grantee understands that Grantee (and not the Company) is responsible for Grantee’s own tax liability that may arise as a result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8"/>
        <w:spacing w:after="0" w:line="262" w:lineRule="auto"/>
        <w:tabs>
          <w:tab w:leader="none" w:pos="2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Contract Created</w:t>
      </w:r>
      <w:r>
        <w:rPr>
          <w:rFonts w:ascii="Times New Roman" w:cs="Times New Roman" w:eastAsia="Times New Roman" w:hAnsi="Times New Roman"/>
          <w:sz w:val="18"/>
          <w:szCs w:val="18"/>
          <w:color w:val="auto"/>
        </w:rPr>
        <w:t>. The grant of PSUs shall not be construed as granting to Grantee any right with respect to continuance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any service with the Company or any of its subsidiaries. The right of the Company or any of its subsidiaries to terminate at will Grantee’s employment or terminate Grantee’s service at any time (whether by dismissal, discharge or otherwise), with or without cause, is specifically reserved, subject to any other written employment or other agreement to which the Company and Grantee may be a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618" w:gutter="0" w:footer="0" w:header="0"/>
        </w:sectPr>
      </w:pPr>
    </w:p>
    <w:bookmarkStart w:id="9" w:name="page10"/>
    <w:bookmarkEnd w:id="9"/>
    <w:p>
      <w:pPr>
        <w:jc w:val="both"/>
        <w:ind w:firstLine="8"/>
        <w:spacing w:after="0" w:line="254" w:lineRule="auto"/>
        <w:tabs>
          <w:tab w:leader="none" w:pos="1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grant, vesting and settlement of the PSUs, and any payments or share deliveries made hereunder, shall be subject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provisions of Section 14 of the Plan. Without limiting the foregoing, the Company has the power and the right to deduct or withhold from any amounts or shares otherwise deliverable to Grantee, or to require Grantee to remit to the Company, an amount sufficient to satisfy all Federal, state, local and foreign taxes (including the Grantee’s FICA obligation) required by law to be withheld with respect to the PSUs. In addition, the Company may, in its sole discretion, satisfy any such withholding obligation by arranging for the sale, on behalf of Grantee, of a number of shares otherwise deliverable to Grantee in respect of the PSUs through a broker-assisted open market sale (including a “sell-to-cover” transaction) pursuant to such procedures as the Administrator may establish from time to time, with the net proceeds of such sale remitted to the Company in satisfaction of the applicable withholding obligation. By accepting this Award, Grantee authorizes and directs the Company and any brokerage firm designated by the Company to effect such sale and to remit the proceeds thereof to the Company, and agrees to execute any additional documentation reasonably necessary to effectuate such sale.</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The PSUs are being granted pursuant to the terms of the Plan, and are to be interpreted in accordance therewith. The Administrator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interpret and construe this Agreement and the Plan, and any action, decision, interpretation or determination made in good faith by the Administrator will be final and binding on the Company and Grantee. The performance goals applicable to the PSUs, and the methodology for determining the number of Earned PSUs, are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is incorporated herein by reference. The Administrator shall have sole and absolute discretion to (i) interpret and administer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all terms and provisions thereof (including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thereto); (ii) calculate and determine the Company’s TSR, the TSR of each Peer Group company, and the Company’s Relative TSR Percentile for the Performance Period, in each case as defined in and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(iii) make any Peer Group adjustments, replacements, or equitable modifications contemplated by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(iv) determine the payout percentage (including by linear interpolation) and the resulting number of Earned PSUs; and (v) certify in writing the achievement of the applicable TSR performance metrics and the number of Earned PSUs prior to any vesting or settlement hereunder. All determinations, interpretations, calculations, adjustments, and certifications made by the Administrator pursuant to this Agreement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final, conclusive, and binding on the Company, the Grantee, and all other interested persons.</w:t>
      </w:r>
    </w:p>
    <w:p>
      <w:pPr>
        <w:spacing w:after="0" w:line="182"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or other communications which are required or permitted hereunder will be in writing and sufficient if (i) personally delivered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by telecopy (including email), (ii) sent by nationally-recognized overnight courier or (iii) sent by registered or certified mail, postage prepaid, return receipt requested, addressed as follows:</w:t>
      </w:r>
    </w:p>
    <w:p>
      <w:pPr>
        <w:spacing w:after="0" w:line="174"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Grantee, to the address (or telecopy number/email address) set forth on the Notice of Performance-Based Restricted Stock Unit Award or in the Company’s files;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its principal executive office as specified in any report filed by the Company with the Securities and Exchange Commission or to such address as the Company may have specified to the Grantee in writing, Attention: Corporate Secretary;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 to such other address as the party to whom notice is to be given may have furnished to the other party in writing in accordance herewith. Any such communication will be deemed to have been given (i) when delivered, if personally delivered, or when telecopied/emailed, if telecopied/emailed, (ii) on the first Business Day (as hereinafter defined) after dispatch, if sent by nationally-recognized overnight courier and (iii) on the fifth Business Day following the date on which the piece of mail containing such communication is posted, if sent by mail. As used herein,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that is not a Saturday, Sunday or a day on which banking institutions in the city to which the notice or communication is to be sent are not required to be open.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59" w:lineRule="auto"/>
        <w:tabs>
          <w:tab w:leader="none" w:pos="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Grantee expressly agrees that the Company will be irreparably damaged if the provisions of this Agreement and the Plan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enforced. Upon a breach or threatened breach of the terms, covenants and/or conditions of this Agreement or the Plan by Grantee, the Company will, in addition to all other remedies, be entitled to a temporary or permanent injunction, without showing any actual damage, and/or decree for specific performance, in accordance with the provisions hereof and thereof. The Administrator has the power to determine what constitutes a breach or threatened breach of this Agreement or the Plan. Any such determinations will be final and conclusive and binding upon Grantee.</w:t>
      </w:r>
    </w:p>
    <w:p>
      <w:pPr>
        <w:spacing w:after="0" w:line="179"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waiver of any breach or condition of this Agreement will be deemed to be a waiver of any other or subsequent breach or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of like or different nature.</w:t>
      </w:r>
    </w:p>
    <w:p>
      <w:pPr>
        <w:spacing w:after="0" w:line="154"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 Undertaking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hereby agrees to take whatever additional actions and execute whatever additional documents the Company may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judgment deem necessary or advisable in order to carry out or effect one or more of the obligations or restrictions imposed on Grantee pursuant to the express provisions of this Agreement.</w:t>
      </w:r>
    </w:p>
    <w:p>
      <w:pPr>
        <w:spacing w:after="0" w:line="17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Grantee are subject to modification and termination in certain events as provided in this Agreement and the Plan.</w:t>
      </w:r>
    </w:p>
    <w:p>
      <w:pPr>
        <w:spacing w:after="0" w:line="225"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governed by, and construed in accordance with, the laws of the State of Texas, without giving effect to its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choice of law principles that might otherwise refer construction or interpretation of this Agreement to the substantive law of another jurisdiction.</w:t>
      </w:r>
    </w:p>
    <w:p>
      <w:pPr>
        <w:spacing w:after="0" w:line="154" w:lineRule="exact"/>
        <w:rPr>
          <w:rFonts w:ascii="Times New Roman" w:cs="Times New Roman" w:eastAsia="Times New Roman" w:hAnsi="Times New Roman"/>
          <w:sz w:val="18"/>
          <w:szCs w:val="18"/>
          <w:color w:val="auto"/>
        </w:rPr>
      </w:pPr>
    </w:p>
    <w:p>
      <w:pPr>
        <w:jc w:val="both"/>
        <w:ind w:firstLine="8"/>
        <w:spacing w:after="0" w:line="257"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will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instrument. Facsimile, portable document format (.pdf), or other electronic transmission (including any electronic signature complying with the U.S. Electronic Signatures in Global and National Commerce Act (E-SIGN), the Uniform Electronic Transactions Act (UETA), or other applicable law, including signatures transmitted through DocuSign, Adobe Sign or similar electronic signature platforms) of this Agreement shall constitute valid and binding execution and delivery of this Agreement for all purposes, with the same force and effect as an original manually executed signature.</w:t>
      </w:r>
    </w:p>
    <w:p>
      <w:pPr>
        <w:spacing w:after="0" w:line="182" w:lineRule="exact"/>
        <w:rPr>
          <w:rFonts w:ascii="Times New Roman" w:cs="Times New Roman" w:eastAsia="Times New Roman" w:hAnsi="Times New Roman"/>
          <w:sz w:val="18"/>
          <w:szCs w:val="18"/>
          <w:color w:val="auto"/>
        </w:rPr>
      </w:pPr>
    </w:p>
    <w:p>
      <w:pPr>
        <w:jc w:val="both"/>
        <w:ind w:firstLine="8"/>
        <w:spacing w:after="0" w:line="262" w:lineRule="auto"/>
        <w:tabs>
          <w:tab w:leader="none" w:pos="2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Notice of Performance-Based Restricted Stock Unit Award,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Grantee’s Employment Agreement with the Company (if any) and, if applicable, the Summary of Termination and Vesting Treatment provided to Grantee in connection with this Award, constitute the entire agreement between the parties with respect to the subject matter hereof, and supersede all previously written or oral negotiations, commitments, representations and agreements with respect thereto. Certain capitalized terms used but not defined in</w:t>
      </w:r>
    </w:p>
    <w:p>
      <w:pPr>
        <w:sectPr>
          <w:pgSz w:w="11900" w:h="16838" w:orient="portrait"/>
          <w:cols w:equalWidth="0" w:num="1">
            <w:col w:w="11240"/>
          </w:cols>
          <w:pgMar w:left="320" w:top="333" w:right="339" w:bottom="0" w:gutter="0" w:footer="0" w:header="0"/>
        </w:sectPr>
      </w:pPr>
    </w:p>
    <w:bookmarkStart w:id="10" w:name="page11"/>
    <w:bookmarkEnd w:id="10"/>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Agreement, and any Exhibit and Appendix hereto, have the meanings assigned to them in the Grantee's employment agreement, offer letter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Any amendment, restatement or replacement of such agreement shall automatically apply for purposes of the definitions incorporated into this Agreement, and any Exhibit and Appendix hereto, unless expressly provided otherwise therein or herein. In the event any terms or provisions of this Agreement conflict with the terms and provisions set forth in the Grantee's employment agreement, offer letter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the terms and provisions of such employment agreement, offer letter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shall govern and control.</w:t>
      </w:r>
    </w:p>
    <w:p>
      <w:pPr>
        <w:spacing w:after="0" w:line="188" w:lineRule="exact"/>
        <w:rPr>
          <w:sz w:val="20"/>
          <w:szCs w:val="20"/>
          <w:color w:val="auto"/>
        </w:rPr>
      </w:pPr>
    </w:p>
    <w:p>
      <w:pPr>
        <w:jc w:val="both"/>
        <w:ind w:firstLine="8"/>
        <w:spacing w:after="0" w:line="268" w:lineRule="auto"/>
        <w:tabs>
          <w:tab w:leader="none" w:pos="2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one or more of the provisions of this Agreement should, for any reason, be held to be invalid, illegal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such invalidity, illegality or unenforceability will not affect any other provisions of this Agreement, and this Agreement will be construed as if such invalid, illegal or unenforceable provision had never been contained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53" w:lineRule="auto"/>
        <w:tabs>
          <w:tab w:leader="none" w:pos="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Compliance</w:t>
      </w:r>
      <w:r>
        <w:rPr>
          <w:rFonts w:ascii="Times New Roman" w:cs="Times New Roman" w:eastAsia="Times New Roman" w:hAnsi="Times New Roman"/>
          <w:sz w:val="18"/>
          <w:szCs w:val="18"/>
          <w:color w:val="auto"/>
        </w:rPr>
        <w:t>. This Agreement and the PSUs granted hereunder are intended to comply with, or be exempt from, Section 409A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shall be construed and administered accordingly. Each payment hereunder shall be treated as a separate payment for purposes of Section 409A of the Code. If the PSUs constitute nonqualified deferred compensation subject to Section 409A of the Code, then, for purposes of this Agreement, any reference to “service with the Company ceas[ing]”, “termination of employment,” “termination of service,” or similar terms shall mean a “separation from service” within the meaning of Treasury Regulation Section 1.409A-1(h). Notwithstanding anything to the contrary, if Grantee is a “specified employee” (within the meaning of Treasury Regulation Section 1.409A-1(i)) as of Grantee’s separation from service, any payment hereunder that constitutes nonqualified deferred compensation subject to Section 409A of the Code and is payable on account of such separation from service shall be delayed until the earlier of (i) the first business day of the seventh month following Grantee’s separation from service or (ii) Grantee’s death, at which time all delayed payments shall be paid in a lump sum. In no event shall the Company, any Subsidiary, or any of their respective directors, officers, employees, or agents have any liability to Grantee for any taxes, interest, or penalties imposed under Section 409A of the Code. If the PSUs constitute nonqualified deferred compensation subject to Section 409A of the Code and the period within which the PSUs may be paid spans two calendar years, then settlement shall occur in the second calendar year, in order to comply with Section 409A of the Code. If the PSUs become vested in connection with a Change in Control and such Change in Control does not constitute a “change in control event” within the meaning of Section 409A of the Code that qualifies as a permissible payment event, then the vested PSUs shall not be settled upon such Change in Control. Instead, such vested PSUs shall be settled on the earliest date on which settlement would otherwise have occurred under this Agreement that constitutes a permissible payment event under Section 409A of the Code.</w:t>
      </w:r>
    </w:p>
    <w:p>
      <w:pPr>
        <w:spacing w:after="0" w:line="183" w:lineRule="exact"/>
        <w:rPr>
          <w:rFonts w:ascii="Times New Roman" w:cs="Times New Roman" w:eastAsia="Times New Roman" w:hAnsi="Times New Roman"/>
          <w:sz w:val="18"/>
          <w:szCs w:val="18"/>
          <w:color w:val="auto"/>
        </w:rPr>
      </w:pPr>
    </w:p>
    <w:p>
      <w:pPr>
        <w:ind w:right="20" w:firstLine="8"/>
        <w:spacing w:after="0" w:line="286" w:lineRule="auto"/>
        <w:tabs>
          <w:tab w:leader="none" w:pos="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The PSUs, and any shares or cash delivered hereunder (and any proceeds therefrom), shall be subject to any clawback, recoupment,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policy adopted by the Company from time to time, including those in effect as of the date of this Agreement.</w:t>
      </w:r>
    </w:p>
    <w:p>
      <w:pPr>
        <w:spacing w:after="0" w:line="154" w:lineRule="exact"/>
        <w:rPr>
          <w:rFonts w:ascii="Times New Roman" w:cs="Times New Roman" w:eastAsia="Times New Roman" w:hAnsi="Times New Roman"/>
          <w:sz w:val="18"/>
          <w:szCs w:val="18"/>
          <w:color w:val="auto"/>
        </w:rPr>
      </w:pPr>
    </w:p>
    <w:p>
      <w:pPr>
        <w:jc w:val="both"/>
        <w:ind w:firstLine="8"/>
        <w:spacing w:after="0" w:line="259"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Grantee consents to the electronic delivery of the Plan, this Agreement, the Plan prospectus, account statements, proxy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documents the Company is required to or determined to deliver to Plan participants or its security holders, whether by email, Company website, or third-party stock plan administrator platform. Grantee may request a paper copy of any such document at no charge, and may revoke this consent, by written notice to the Company’s Secretary. Grantee’s electronic signature (including click-through acceptance) shall have the same force and effect as a manual signature.</w:t>
      </w:r>
    </w:p>
    <w:p>
      <w:pPr>
        <w:spacing w:after="0" w:line="179"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HEREBY EXPRESSLY, IRREVOCABLY AND UNCONDITIONALLY WAIVES TRIAL BY JURY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LEGAL ACTION OR PROCEEDING RELATING TO THIS AGREEMENT AND FOR ANY COUNTERCLAIM THEREIN.</w:t>
      </w:r>
    </w:p>
    <w:p>
      <w:pPr>
        <w:spacing w:after="0" w:line="154" w:lineRule="exact"/>
        <w:rPr>
          <w:rFonts w:ascii="Times New Roman" w:cs="Times New Roman" w:eastAsia="Times New Roman" w:hAnsi="Times New Roman"/>
          <w:sz w:val="18"/>
          <w:szCs w:val="18"/>
          <w:color w:val="auto"/>
        </w:rPr>
      </w:pPr>
    </w:p>
    <w:p>
      <w:pPr>
        <w:jc w:val="both"/>
        <w:ind w:firstLine="8"/>
        <w:spacing w:after="0" w:line="262" w:lineRule="auto"/>
        <w:tabs>
          <w:tab w:leader="none" w:pos="3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the Grantee’s participation in the Plan, or the Grantee’s acquisition of the PSUs, or the Grantee’s acquisition or sale of the underlying shares of Common Stock. The Grantee should consult with his or her own personal tax, legal and financial advisors regarding his or her participation in the Plan before taking any action related to the Plan.</w:t>
      </w:r>
    </w:p>
    <w:p>
      <w:pPr>
        <w:spacing w:after="0" w:line="176"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To the extent the Plan and/or the Common Stock issuable pursuant to this Agreement are registered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hereby acknowledges receipt of or the right to receive a document providing the information required by Rule 428(b)(1) promulgated under the Securities Act, which includes the prospectus relating to the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Performance-Based Restricted Stock Unit Award Agreement as of the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PEDEVCO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p>
    <w:p>
      <w:pPr>
        <w:sectPr>
          <w:pgSz w:w="11900" w:h="16891" w:orient="portrait"/>
          <w:cols w:equalWidth="0" w:num="1">
            <w:col w:w="11240"/>
          </w:cols>
          <w:pgMar w:left="320" w:top="121"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Name: Clark R. Moore</w:t>
      </w:r>
    </w:p>
    <w:p>
      <w:pPr>
        <w:spacing w:after="0" w:line="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EVP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2494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Page 7 of 8</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(PERFORMANCE MATRIX)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Page 8 of 8</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PSU 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AWARD AND PERFORMANCE PERIOD</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The number of Earned PSUs (if any) shall be determined based on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performance period shall commence on January 1, 2026 (the “</w:t>
      </w:r>
      <w:r>
        <w:rPr>
          <w:rFonts w:ascii="Times New Roman" w:cs="Times New Roman" w:eastAsia="Times New Roman" w:hAnsi="Times New Roman"/>
          <w:sz w:val="18"/>
          <w:szCs w:val="18"/>
          <w:b w:val="1"/>
          <w:bCs w:val="1"/>
          <w:color w:val="auto"/>
        </w:rPr>
        <w:t>Start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shall end on December 31, 2028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Exhibit A, the following terms shall have the meanings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means the group of companies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may be adjusted pursuant to Section 5 below.</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Shareholder Return” or “TSR” </w:t>
      </w:r>
      <w:r>
        <w:rPr>
          <w:rFonts w:ascii="Times New Roman" w:cs="Times New Roman" w:eastAsia="Times New Roman" w:hAnsi="Times New Roman"/>
          <w:sz w:val="18"/>
          <w:szCs w:val="18"/>
          <w:color w:val="auto"/>
        </w:rPr>
        <w:t>means, with respect to the Company or any Peer Group company, the annualized rate of return reflecting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appreciation (or depreciation) over the Performance Period, calculated as a compound annual growth rate (“CAGR”) using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112395</wp:posOffset>
            </wp:positionV>
            <wp:extent cx="396875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9687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Beginning Average Stock Price</w:t>
      </w:r>
      <w:r>
        <w:rPr>
          <w:rFonts w:ascii="Times New Roman" w:cs="Times New Roman" w:eastAsia="Times New Roman" w:hAnsi="Times New Roman"/>
          <w:sz w:val="18"/>
          <w:szCs w:val="18"/>
          <w:color w:val="auto"/>
        </w:rPr>
        <w:t>” means the 20-trading-day volume-weighted average price (“VWAP”) of the applicable company’s common stock preceding the first day of the Performance Period, as equitably adjusted for any stock split, stock dividend, or similar event, as determined in the reasonable discretion of the Board of Directors of the Company.</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Ending Average Stock Price</w:t>
      </w:r>
      <w:r>
        <w:rPr>
          <w:rFonts w:ascii="Times New Roman" w:cs="Times New Roman" w:eastAsia="Times New Roman" w:hAnsi="Times New Roman"/>
          <w:sz w:val="17"/>
          <w:szCs w:val="17"/>
          <w:color w:val="auto"/>
        </w:rPr>
        <w:t>” means the 20-trading-day VWAP of the applicable company’s common stock ending on and including the End Date, as equitably adjusted for any stock split, stock dividend, or similar event, as determined in the reasonable discretion of the Board of Directors of the Company.</w:t>
      </w:r>
    </w:p>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 is the number of years in the Performance Period (subject to reduction in the event of a qualifying termination of service or Change in Control under [Grantee’s Employment Agreement with the Company] [the Summary of Termination and Vesting Treatment provided to Grantee by the Company in connection with this Award] prior to the end of the Performance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“Reinvested Dividend Amount” means all dividends paid by the applicable entity in respect of the entity’s common stock during the Performance Period (shortened as appropriate, in the event of a qualifying termination of service or Change in Control under [Grantee’s Employment Agreement with the Company] [the Summary of Termination and Vesting Treatment provided to Grantee by the Company in connection with this Award] prior to the end of the Performance Period).</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“Relative TSR” </w:t>
      </w:r>
      <w:r>
        <w:rPr>
          <w:rFonts w:ascii="Times New Roman" w:cs="Times New Roman" w:eastAsia="Times New Roman" w:hAnsi="Times New Roman"/>
          <w:sz w:val="18"/>
          <w:szCs w:val="18"/>
          <w:color w:val="auto"/>
        </w:rPr>
        <w:t>means the percentile ranking of the Company’s TSR relative to the TSR of the Peer Group companies over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in accordance with Section 3 below.</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“Relative TSR Percentile” </w:t>
      </w:r>
      <w:r>
        <w:rPr>
          <w:rFonts w:ascii="Times New Roman" w:cs="Times New Roman" w:eastAsia="Times New Roman" w:hAnsi="Times New Roman"/>
          <w:sz w:val="18"/>
          <w:szCs w:val="18"/>
          <w:color w:val="auto"/>
        </w:rPr>
        <w:t>means the percentage of Peer Group companies whose TSR is less than or equal to the Company’s TSR over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capitalized terms used but not defined in this Exhibit have the meanings assigned to them in the Grantee’s Employment Agreement, offer letter, the Summary of Termination and Vesting Treatment provided to Grantee by the Company in connection with this Award, or other written agreement governing the Grantee’s service with the Company, if any (as such agreement may be amended, restated, supplemented, renewed or otherwise modified from time to time, or replaced or superseded by a subsequent written agreement between the Grantee and the Company). Any amendment, restatement or replacement of such agreement shall automatically apply for purposes of the definitions incorporated into this Exhibit unless expressly provided otherwise therein 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DETERMINATION OF RELATIVE TSR</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Calculation.</w:t>
      </w:r>
      <w:r>
        <w:rPr>
          <w:rFonts w:ascii="Times New Roman" w:cs="Times New Roman" w:eastAsia="Times New Roman" w:hAnsi="Times New Roman"/>
          <w:sz w:val="18"/>
          <w:szCs w:val="18"/>
          <w:color w:val="auto"/>
        </w:rPr>
        <w:t xml:space="preserve"> As soon as practicable following the End Date (and in no event later than 60 days thereafter), the Administrator shall determine the Company’s TSR and the TSR of each Peer Group company for the Performance Period. The Relative TSR Percentile shall be calculated by ranking all Peer Group companies (excluding the Company) from lowest to highest TSR. The Company’s percentile rank will be interpolated between the entity with the next highest TSR and the entity with the next lowest TSR based on the differential between the Company’s TSR and the TSR of such entities.</w:t>
      </w:r>
    </w:p>
    <w:p>
      <w:pPr>
        <w:sectPr>
          <w:pgSz w:w="11900" w:h="16838" w:orient="portrait"/>
          <w:cols w:equalWidth="0" w:num="1">
            <w:col w:w="11240"/>
          </w:cols>
          <w:pgMar w:left="320" w:top="117" w:right="339" w:bottom="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13" w:name="page14"/>
    <w:bookmarkEnd w:id="13"/>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Payout Grid.</w:t>
      </w:r>
      <w:r>
        <w:rPr>
          <w:rFonts w:ascii="Times New Roman" w:cs="Times New Roman" w:eastAsia="Times New Roman" w:hAnsi="Times New Roman"/>
          <w:sz w:val="18"/>
          <w:szCs w:val="18"/>
          <w:color w:val="auto"/>
        </w:rPr>
        <w:t xml:space="preserve"> The number of PSUs that become eligible to vest (the “Earned PSUs”) shall be determined based on the following Relative TSR Payout Grid: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Relative TSR Percentile Rank vs. Peer Group</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8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Relative TSR Percentile Rank vs</w:t>
            </w:r>
          </w:p>
        </w:tc>
        <w:tc>
          <w:tcPr>
            <w:tcW w:w="1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Payout Based on Actual Company TSR</w:t>
            </w:r>
          </w:p>
        </w:tc>
        <w:tc>
          <w:tcPr>
            <w:tcW w:w="5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r>
      <w:tr>
        <w:trPr>
          <w:trHeight w:val="238"/>
        </w:trPr>
        <w:tc>
          <w:tcPr>
            <w:tcW w:w="2840" w:type="dxa"/>
            <w:vAlign w:val="bottom"/>
            <w:tcBorders>
              <w:left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4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 of Target PSUs Earned)</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2160" w:type="dxa"/>
            <w:vAlign w:val="bottom"/>
            <w:gridSpan w:val="3"/>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&lt;0.1%</w:t>
            </w:r>
          </w:p>
        </w:tc>
        <w:tc>
          <w:tcPr>
            <w:tcW w:w="6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&gt;=0.1% - 25%</w:t>
            </w:r>
          </w:p>
        </w:tc>
        <w:tc>
          <w:tcPr>
            <w:tcW w:w="620" w:type="dxa"/>
            <w:vAlign w:val="bottom"/>
          </w:tcPr>
          <w:p>
            <w:pPr>
              <w:spacing w:after="0"/>
              <w:rPr>
                <w:sz w:val="17"/>
                <w:szCs w:val="17"/>
                <w:color w:val="auto"/>
              </w:rPr>
            </w:pPr>
          </w:p>
        </w:tc>
        <w:tc>
          <w:tcPr>
            <w:tcW w:w="2160" w:type="dxa"/>
            <w:vAlign w:val="bottom"/>
            <w:tcBorders>
              <w:right w:val="single" w:sz="8" w:color="auto"/>
            </w:tcBorders>
            <w:gridSpan w:val="3"/>
          </w:tcPr>
          <w:p>
            <w:pPr>
              <w:jc w:val="right"/>
              <w:ind w:right="1180"/>
              <w:spacing w:after="0" w:line="196" w:lineRule="exact"/>
              <w:rPr>
                <w:sz w:val="20"/>
                <w:szCs w:val="20"/>
                <w:color w:val="auto"/>
              </w:rPr>
            </w:pPr>
            <w:r>
              <w:rPr>
                <w:rFonts w:ascii="Times New Roman" w:cs="Times New Roman" w:eastAsia="Times New Roman" w:hAnsi="Times New Roman"/>
                <w:sz w:val="18"/>
                <w:szCs w:val="18"/>
                <w:b w:val="1"/>
                <w:bCs w:val="1"/>
                <w:color w:val="auto"/>
              </w:rPr>
              <w:t>&gt;25%</w:t>
            </w:r>
          </w:p>
        </w:tc>
      </w:tr>
      <w:tr>
        <w:trPr>
          <w:trHeight w:val="48"/>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04"/>
        </w:trPr>
        <w:tc>
          <w:tcPr>
            <w:tcW w:w="2840" w:type="dxa"/>
            <w:vAlign w:val="bottom"/>
            <w:tcBorders>
              <w:left w:val="single" w:sz="8" w:color="auto"/>
              <w:bottom w:val="single" w:sz="8" w:color="auto"/>
              <w:right w:val="single" w:sz="8" w:color="auto"/>
            </w:tcBorders>
          </w:tcPr>
          <w:p>
            <w:pPr>
              <w:ind w:left="40"/>
              <w:spacing w:after="0" w:line="303" w:lineRule="exact"/>
              <w:rPr>
                <w:sz w:val="20"/>
                <w:szCs w:val="20"/>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37"/>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&gt;=25% Percentile</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&gt;=50% Percentile</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&gt;=75% Percentile</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For purposes of the Relative TSR Percentile Rank vs Peer Group levels, for performance between the levels set forth above, the payout percentage shall be determined by linear interpolation. The maximum payout shall not exceed 200% of the Target PSUs regardless of the Company’s Relative TSR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VESTING</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Cliff Vesting.</w:t>
      </w:r>
      <w:r>
        <w:rPr>
          <w:rFonts w:ascii="Times New Roman" w:cs="Times New Roman" w:eastAsia="Times New Roman" w:hAnsi="Times New Roman"/>
          <w:sz w:val="18"/>
          <w:szCs w:val="18"/>
          <w:color w:val="auto"/>
        </w:rPr>
        <w:t xml:space="preserve"> Subject to the Grantee’s continued service through the End Date and the Administrator’s certification of the Company’s TSR and Relative TSR Percentile, 100% of the Earned PSUs shall cliff-vest on the End Date (the “Vesting Date”). Prior to a Change in Control, the PSUs shall also be subject to the termination and accelerated vesting provisions as, and to the extent, set forth in [Grantee’s Employment Agreement with the Company] [the Summary of Termination and Vesting Treatment provided to Grantee by the Company in connection with this Award].</w:t>
      </w:r>
    </w:p>
    <w:p>
      <w:pPr>
        <w:spacing w:after="0" w:line="18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Administrator Certification.</w:t>
      </w:r>
      <w:r>
        <w:rPr>
          <w:rFonts w:ascii="Times New Roman" w:cs="Times New Roman" w:eastAsia="Times New Roman" w:hAnsi="Times New Roman"/>
          <w:sz w:val="18"/>
          <w:szCs w:val="18"/>
          <w:color w:val="auto"/>
        </w:rPr>
        <w:t xml:space="preserve"> Prior to any vesting, the Administrator shall certify in writing the achievement of the applicable TSR performance metrics and the resulting Payout percentage. No PSUs shall vest prior to such certification.</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Forfeiture.</w:t>
      </w:r>
      <w:r>
        <w:rPr>
          <w:rFonts w:ascii="Times New Roman" w:cs="Times New Roman" w:eastAsia="Times New Roman" w:hAnsi="Times New Roman"/>
          <w:sz w:val="18"/>
          <w:szCs w:val="18"/>
          <w:color w:val="auto"/>
        </w:rPr>
        <w:t xml:space="preserve"> Any PSUs that do not become Earned PSUs (i.e., the portion remaining after the certified payout level) shall be automatically forfeited and cancelled as of the End Date without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PEER GROUP ADJUSTMENTS</w:t>
      </w:r>
    </w:p>
    <w:p>
      <w:pPr>
        <w:spacing w:after="0" w:line="22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i w:val="1"/>
          <w:iCs w:val="1"/>
          <w:color w:val="auto"/>
        </w:rPr>
        <w:t>Acquisition or Going-Private.</w:t>
      </w:r>
      <w:r>
        <w:rPr>
          <w:rFonts w:ascii="Times New Roman" w:cs="Times New Roman" w:eastAsia="Times New Roman" w:hAnsi="Times New Roman"/>
          <w:sz w:val="17"/>
          <w:szCs w:val="17"/>
          <w:color w:val="auto"/>
        </w:rPr>
        <w:t xml:space="preserve"> If a Peer Group company is acquired by or merged into another entity, taken private, or otherwise ceases to have publicly traded equity securities during the Performance Period, such company shall be removed from the Peer Group as of the date of such event and shall not be included in the Relative TSR calculation. For clarity, a Peer Group company that acquires another company but continues to exist as a publicly traded company on a national securities exchange shall remain in the Performance Peer Group and its performance shall be used in the Relative TSR calculation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Bankruptcy.</w:t>
      </w:r>
      <w:r>
        <w:rPr>
          <w:rFonts w:ascii="Times New Roman" w:cs="Times New Roman" w:eastAsia="Times New Roman" w:hAnsi="Times New Roman"/>
          <w:sz w:val="18"/>
          <w:szCs w:val="18"/>
          <w:color w:val="auto"/>
        </w:rPr>
        <w:t xml:space="preserve"> If a Peer Group company files for bankruptcy or becomes subject to a liquidation proceeding during the Performance Period, such company shall remain in the Peer Group and shall be assigned the lowest TSR ranking for purposes of the Relative TSR calculation.</w:t>
      </w:r>
    </w:p>
    <w:p>
      <w:pPr>
        <w:spacing w:after="0" w:line="15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Spin-offs and Significant Asset Sales.</w:t>
      </w:r>
      <w:r>
        <w:rPr>
          <w:rFonts w:ascii="Times New Roman" w:cs="Times New Roman" w:eastAsia="Times New Roman" w:hAnsi="Times New Roman"/>
          <w:sz w:val="18"/>
          <w:szCs w:val="18"/>
          <w:color w:val="auto"/>
        </w:rPr>
        <w:t xml:space="preserve"> The Administrator shall have the authority to make equitable adjustments to the Peer Group or TSR calculations in the event of spin-offs, significant asset dispositions, special dividends, or other extraordinary corporate transactions affecting one or more Peer Group companies.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Minimum Peer Group.</w:t>
      </w:r>
      <w:r>
        <w:rPr>
          <w:rFonts w:ascii="Times New Roman" w:cs="Times New Roman" w:eastAsia="Times New Roman" w:hAnsi="Times New Roman"/>
          <w:sz w:val="18"/>
          <w:szCs w:val="18"/>
          <w:color w:val="auto"/>
        </w:rPr>
        <w:t xml:space="preserve"> If the number of remaining Peer Group companies falls below five (5) as a result of the foregoing adjustments, the Administrator may, in its discretion, add replacement companies to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CHANGE IN CONTROL</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a Change in Control, (A) if the PSUs are not assumed by the surviving entity in connection with such Change in Control, all PSUs, if any, shall immediately become vested as of immediately prior to such Change in Control (with the performance goals set forth herein being deemed achieved at the greater of target and actual performance determined as of the last trading day prior to such Change in Control) and (B) if the PSUs are assumed by the surviving entity in connection with such Change in Control, upon the Grantee’s termination of service by the Company without Cause or by the Grantee for Good Reason within six months following such applicable Change in Control, all PSUs, if any, shall immediately become vested as of the date of such termination of service (with the performance goals set forth herein being deemed achieved at the greater of target and actual performance determined as of the date of such termination of service); provided, that such termination of service constitutes a “separation of service” within the meaning of Section 409A of the Code.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1 – PEER GROUP</w:t>
      </w:r>
    </w:p>
    <w:p>
      <w:pPr>
        <w:sectPr>
          <w:pgSz w:w="11900" w:h="16838" w:orient="portrait"/>
          <w:cols w:equalWidth="0" w:num="1">
            <w:col w:w="11240"/>
          </w:cols>
          <w:pgMar w:left="320" w:top="565"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companies constitute the Peer Group for purposes of measuring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168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pacing w:after="0" w:line="232"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Ticker</w:t>
            </w: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Exchange</w:t>
            </w:r>
          </w:p>
        </w:tc>
      </w:tr>
      <w:tr>
        <w:trPr>
          <w:trHeight w:val="20"/>
        </w:trPr>
        <w:tc>
          <w:tcPr>
            <w:tcW w:w="1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4</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5</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6</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7</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8</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9</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Peer Group is subject to adjustment during the Performance Period pursuant to Section 5 of Exhibit A.</w:t>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80"/>
      </w:cols>
      <w:pgMar w:left="320" w:top="121"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104"/>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lvl w:ilvl="1">
      <w:lvlJc w:val="left"/>
      <w:lvlText w:val="(%2)"/>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4"/>
    </w:lvl>
    <w:lvl w:ilvl="1">
      <w:lvlJc w:val="left"/>
      <w:lvlText w:val="(%2)"/>
      <w:numFmt w:val="lowerLetter"/>
      <w:start w:val="1"/>
    </w:lvl>
  </w:abstractNum>
  <w:abstractNum w:abstractNumId="8">
    <w:nsid w:val="DED7263"/>
    <w:multiLevelType w:val="hybridMultilevel"/>
    <w:lvl w:ilvl="0">
      <w:lvlJc w:val="left"/>
      <w:lvlText w:val="%1."/>
      <w:numFmt w:val="decimal"/>
      <w:start w:val="10"/>
    </w:lvl>
    <w:lvl w:ilvl="1">
      <w:lvlJc w:val="left"/>
      <w:lvlText w:val="(%2)"/>
      <w:numFmt w:val="lowerLetter"/>
      <w:start w:val="1"/>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7"/>
    </w:lvl>
  </w:abstractNum>
  <w:abstractNum w:abstractNumId="11">
    <w:nsid w:val="41A7C4C9"/>
    <w:multiLevelType w:val="hybridMultilevel"/>
    <w:lvl w:ilvl="0">
      <w:lvlJc w:val="left"/>
      <w:lvlText w:val="%1."/>
      <w:numFmt w:val="decimal"/>
      <w:start w:val="20"/>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3"/>
    </w:lvl>
    <w:lvl w:ilvl="1">
      <w:lvlJc w:val="left"/>
      <w:lvlText w:val="(%2)"/>
      <w:numFmt w:val="lowerLetter"/>
      <w:start w:val="1"/>
    </w:lvl>
  </w:abstractNum>
  <w:abstractNum w:abstractNumId="15">
    <w:nsid w:val="519B500D"/>
    <w:multiLevelType w:val="hybridMultilevel"/>
    <w:lvl w:ilvl="0">
      <w:lvlJc w:val="left"/>
      <w:lvlText w:val="%1."/>
      <w:numFmt w:val="decimal"/>
      <w:start w:val="8"/>
    </w:lvl>
    <w:lvl w:ilvl="1">
      <w:lvlJc w:val="left"/>
      <w:lvlText w:val="(%2)"/>
      <w:numFmt w:val="lowerLetter"/>
      <w:start w:val="1"/>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decimal"/>
      <w:start w:val="18"/>
    </w:lvl>
  </w:abstractNum>
  <w:abstractNum w:abstractNumId="18">
    <w:nsid w:val="7C83E45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jpe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15" Type="http://schemas.openxmlformats.org/officeDocument/2006/relationships/hyperlink" Target="http://www.sec.gov/Archives/edgar/data/1141197/000165495421009655/ped_ex101.htm" TargetMode="External"/><Relationship Id="rId17" Type="http://schemas.openxmlformats.org/officeDocument/2006/relationships/hyperlink" Target="http://www.sec.gov/Archives/edgar/data/1141197/000165495424011344/ped_ex101.htm" TargetMode="External"/><Relationship Id="rId18" Type="http://schemas.openxmlformats.org/officeDocument/2006/relationships/hyperlink" Target="http://www.sec.gov/Archives/edgar/data/1141197/000165495425012450/ped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2026-06-24T05:09:31Z</dcterms:created>
  <dcterms:modified xsi:type="dcterms:W3CDTF">2026-06-24T05:09:31Z</dcterms:modified>
</cp:coreProperties>
</file>