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UNITED STATES</w:t>
      </w:r>
    </w:p>
    <w:p>
      <w:pPr>
        <w:pStyle w:val="TextBody"/>
        <w:bidi w:val="0"/>
        <w:spacing w:before="0" w:after="0"/>
        <w:ind w:left="0" w:right="0" w:hanging="0"/>
        <w:jc w:val="center"/>
        <w:rPr/>
      </w:pPr>
      <w:r>
        <w:rPr>
          <w:rStyle w:val="StrongEmphasis"/>
          <w:rFonts w:ascii="times new roman" w:hAnsi="times new roman"/>
          <w:sz w:val="20"/>
        </w:rPr>
        <w:t>SECURITIES AND EXCHANGE COMMISSION</w:t>
      </w:r>
    </w:p>
    <w:p>
      <w:pPr>
        <w:pStyle w:val="TextBody"/>
        <w:bidi w:val="0"/>
        <w:spacing w:before="0" w:after="0"/>
        <w:ind w:left="0" w:right="0" w:hanging="0"/>
        <w:jc w:val="center"/>
        <w:rPr/>
      </w:pPr>
      <w:r>
        <w:rPr>
          <w:rStyle w:val="StrongEmphasis"/>
          <w:rFonts w:ascii="times new roman" w:hAnsi="times new roman"/>
          <w:sz w:val="20"/>
        </w:rPr>
        <w:t>WASHINGTON, D.C. 20549</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36"/>
        </w:rPr>
        <w:t>FORM 8-K</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CURRENT REPORT </w:t>
      </w:r>
    </w:p>
    <w:p>
      <w:pPr>
        <w:pStyle w:val="TextBody"/>
        <w:bidi w:val="0"/>
        <w:spacing w:before="0" w:after="0"/>
        <w:ind w:left="0" w:right="0" w:hanging="0"/>
        <w:jc w:val="center"/>
        <w:rPr>
          <w:rFonts w:ascii="times new roman" w:hAnsi="times new roman"/>
          <w:sz w:val="20"/>
        </w:rPr>
      </w:pPr>
      <w:r>
        <w:rPr>
          <w:rFonts w:ascii="times new roman" w:hAnsi="times new roman"/>
          <w:sz w:val="20"/>
        </w:rPr>
        <w:t>PURSUANT TO SECTION 13 OR 15(D) OF THE SECURITIES EXCHANGE ACT OF 1934</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Fonts w:ascii="times new roman" w:hAnsi="times new roman"/>
          <w:sz w:val="20"/>
        </w:rPr>
        <w:t>Date of Report (Date of Earliest Event Reported): </w:t>
      </w:r>
      <w:r>
        <w:rPr>
          <w:rStyle w:val="StrongEmphasis"/>
          <w:rFonts w:ascii="times new roman" w:hAnsi="times new roman"/>
          <w:sz w:val="20"/>
        </w:rPr>
        <w:t>September 16, 2026</w:t>
      </w:r>
    </w:p>
    <w:p>
      <w:pPr>
        <w:pStyle w:val="TextBody"/>
        <w:bidi w:val="0"/>
        <w:spacing w:before="0" w:after="0"/>
        <w:ind w:left="0" w:right="0" w:hanging="0"/>
        <w:jc w:val="both"/>
        <w:rPr/>
      </w:pPr>
      <w:r>
        <w:rPr/>
        <w:t> </w:t>
      </w:r>
    </w:p>
    <w:tbl>
      <w:tblPr>
        <w:tblW w:w="4460" w:type="dxa"/>
        <w:jc w:val="left"/>
        <w:tblInd w:w="0" w:type="dxa"/>
        <w:tblLayout w:type="fixed"/>
        <w:tblCellMar>
          <w:top w:w="0" w:type="dxa"/>
          <w:left w:w="0" w:type="dxa"/>
          <w:bottom w:w="28" w:type="dxa"/>
          <w:right w:w="0" w:type="dxa"/>
        </w:tblCellMar>
      </w:tblPr>
      <w:tblGrid>
        <w:gridCol w:w="4460"/>
      </w:tblGrid>
      <w:tr>
        <w:trPr/>
        <w:tc>
          <w:tcPr>
            <w:tcW w:w="446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36"/>
              </w:rPr>
              <w:t>PEDEVCO CORP.</w:t>
            </w:r>
          </w:p>
        </w:tc>
      </w:tr>
      <w:tr>
        <w:trPr/>
        <w:tc>
          <w:tcPr>
            <w:tcW w:w="4460"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(Exact name of registrant as specified in its charter)</w:t>
            </w:r>
          </w:p>
        </w:tc>
      </w:tr>
    </w:tbl>
    <w:p>
      <w:pPr>
        <w:pStyle w:val="TextBody"/>
        <w:bidi w:val="0"/>
        <w:spacing w:before="0" w:after="0"/>
        <w:ind w:left="0" w:right="0" w:hanging="0"/>
        <w:jc w:val="both"/>
        <w:rPr/>
      </w:pPr>
      <w:r>
        <w:rPr/>
        <w:t xml:space="preserve">  </w:t>
      </w:r>
    </w:p>
    <w:tbl>
      <w:tblPr>
        <w:tblW w:w="6735" w:type="dxa"/>
        <w:jc w:val="left"/>
        <w:tblInd w:w="0" w:type="dxa"/>
        <w:tblLayout w:type="fixed"/>
        <w:tblCellMar>
          <w:top w:w="0" w:type="dxa"/>
          <w:left w:w="0" w:type="dxa"/>
          <w:bottom w:w="28" w:type="dxa"/>
          <w:right w:w="0" w:type="dxa"/>
        </w:tblCellMar>
      </w:tblPr>
      <w:tblGrid>
        <w:gridCol w:w="2690"/>
        <w:gridCol w:w="90"/>
        <w:gridCol w:w="2240"/>
        <w:gridCol w:w="90"/>
        <w:gridCol w:w="1625"/>
      </w:tblGrid>
      <w:tr>
        <w:trPr/>
        <w:tc>
          <w:tcPr>
            <w:tcW w:w="269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Texas</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224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001-35922</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162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22-3755993</w:t>
            </w:r>
          </w:p>
        </w:tc>
      </w:tr>
      <w:tr>
        <w:trPr/>
        <w:tc>
          <w:tcPr>
            <w:tcW w:w="2690"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(State or other jurisdiction of</w:t>
            </w:r>
          </w:p>
          <w:p>
            <w:pPr>
              <w:pStyle w:val="TableContents"/>
              <w:bidi w:val="0"/>
              <w:spacing w:before="0" w:after="0"/>
              <w:ind w:left="0" w:right="0" w:hanging="0"/>
              <w:jc w:val="center"/>
              <w:rPr/>
            </w:pPr>
            <w:r>
              <w:rPr>
                <w:rStyle w:val="StrongEmphasis"/>
                <w:rFonts w:ascii="times new roman" w:hAnsi="times new roman"/>
                <w:sz w:val="20"/>
              </w:rPr>
              <w:t>incorporation or organization)</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2240"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(Commission file number)</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1625"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(IRS Employer</w:t>
            </w:r>
          </w:p>
          <w:p>
            <w:pPr>
              <w:pStyle w:val="TableContents"/>
              <w:bidi w:val="0"/>
              <w:spacing w:before="0" w:after="0"/>
              <w:ind w:left="0" w:right="0" w:hanging="0"/>
              <w:jc w:val="center"/>
              <w:rPr/>
            </w:pPr>
            <w:r>
              <w:rPr>
                <w:rStyle w:val="StrongEmphasis"/>
                <w:rFonts w:ascii="times new roman" w:hAnsi="times new roman"/>
                <w:sz w:val="20"/>
              </w:rPr>
              <w:t>Identification</w:t>
            </w:r>
            <w:r>
              <w:rPr>
                <w:rFonts w:ascii="times new roman" w:hAnsi="times new roman"/>
                <w:sz w:val="20"/>
              </w:rPr>
              <w:t> </w:t>
            </w:r>
            <w:r>
              <w:rPr>
                <w:rStyle w:val="StrongEmphasis"/>
                <w:rFonts w:ascii="times new roman" w:hAnsi="times new roman"/>
                <w:sz w:val="20"/>
              </w:rPr>
              <w:t>No.)</w:t>
            </w:r>
          </w:p>
        </w:tc>
      </w:tr>
    </w:tbl>
    <w:p>
      <w:pPr>
        <w:pStyle w:val="TextBody"/>
        <w:bidi w:val="0"/>
        <w:spacing w:before="0" w:after="0"/>
        <w:ind w:left="0" w:right="0" w:hanging="0"/>
        <w:jc w:val="center"/>
        <w:rPr/>
      </w:pPr>
      <w:r>
        <w:rPr/>
        <w:t> </w:t>
      </w:r>
    </w:p>
    <w:tbl>
      <w:tblPr>
        <w:tblW w:w="4405" w:type="dxa"/>
        <w:jc w:val="left"/>
        <w:tblInd w:w="0" w:type="dxa"/>
        <w:tblLayout w:type="fixed"/>
        <w:tblCellMar>
          <w:top w:w="0" w:type="dxa"/>
          <w:left w:w="0" w:type="dxa"/>
          <w:bottom w:w="28" w:type="dxa"/>
          <w:right w:w="0" w:type="dxa"/>
        </w:tblCellMar>
      </w:tblPr>
      <w:tblGrid>
        <w:gridCol w:w="3320"/>
        <w:gridCol w:w="90"/>
        <w:gridCol w:w="995"/>
      </w:tblGrid>
      <w:tr>
        <w:trPr/>
        <w:tc>
          <w:tcPr>
            <w:tcW w:w="332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575 N. Dairy Ashford, Suite 210</w:t>
            </w:r>
          </w:p>
          <w:p>
            <w:pPr>
              <w:pStyle w:val="TableContents"/>
              <w:bidi w:val="0"/>
              <w:spacing w:before="0" w:after="0"/>
              <w:ind w:left="0" w:right="0" w:hanging="0"/>
              <w:jc w:val="center"/>
              <w:rPr/>
            </w:pPr>
            <w:r>
              <w:rPr>
                <w:rStyle w:val="StrongEmphasis"/>
                <w:rFonts w:ascii="times new roman" w:hAnsi="times new roman"/>
                <w:sz w:val="20"/>
              </w:rPr>
              <w:t xml:space="preserve">Houston, Texas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77079</w:t>
            </w:r>
          </w:p>
        </w:tc>
      </w:tr>
      <w:tr>
        <w:trPr/>
        <w:tc>
          <w:tcPr>
            <w:tcW w:w="3320"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(Address of principal executive offices)</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95"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(Zip Code)</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 xml:space="preserve">Registrant’s telephone number, including area code: </w:t>
      </w:r>
      <w:r>
        <w:rPr>
          <w:rStyle w:val="StrongEmphasis"/>
          <w:rFonts w:ascii="times new roman" w:hAnsi="times new roman"/>
          <w:sz w:val="20"/>
          <w:u w:val="single"/>
        </w:rPr>
        <w:t>(713) 221-1768</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pPr>
      <w:r>
        <w:rPr/>
        <w:t> </w:t>
      </w:r>
    </w:p>
    <w:tbl>
      <w:tblPr>
        <w:tblW w:w="9400" w:type="dxa"/>
        <w:jc w:val="left"/>
        <w:tblInd w:w="0" w:type="dxa"/>
        <w:tblLayout w:type="fixed"/>
        <w:tblCellMar>
          <w:top w:w="0" w:type="dxa"/>
          <w:left w:w="0" w:type="dxa"/>
          <w:bottom w:w="0" w:type="dxa"/>
          <w:right w:w="0" w:type="dxa"/>
        </w:tblCellMar>
      </w:tblPr>
      <w:tblGrid>
        <w:gridCol w:w="275"/>
        <w:gridCol w:w="9125"/>
      </w:tblGrid>
      <w:tr>
        <w:trPr/>
        <w:tc>
          <w:tcPr>
            <w:tcW w:w="275" w:type="dxa"/>
            <w:tcBorders/>
            <w:vAlign w:val="center"/>
          </w:tcPr>
          <w:p>
            <w:pPr>
              <w:pStyle w:val="TableContents"/>
              <w:bidi w:val="0"/>
              <w:spacing w:before="0" w:after="0"/>
              <w:ind w:left="0" w:right="0" w:hanging="0"/>
              <w:jc w:val="both"/>
              <w:rPr/>
            </w:pPr>
            <w:r>
              <w:rPr/>
              <w:t>☐</w:t>
            </w:r>
          </w:p>
        </w:tc>
        <w:tc>
          <w:tcPr>
            <w:tcW w:w="912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Written communications pursuant to Rule 425 under the Securities Act (17 CFR 230.425)</w:t>
            </w:r>
          </w:p>
        </w:tc>
      </w:tr>
      <w:tr>
        <w:trPr/>
        <w:tc>
          <w:tcPr>
            <w:tcW w:w="275" w:type="dxa"/>
            <w:tcBorders/>
            <w:vAlign w:val="center"/>
          </w:tcPr>
          <w:p>
            <w:pPr>
              <w:pStyle w:val="TableContents"/>
              <w:bidi w:val="0"/>
              <w:spacing w:before="0" w:after="0"/>
              <w:ind w:left="0" w:right="0" w:hanging="0"/>
              <w:jc w:val="left"/>
              <w:rPr/>
            </w:pPr>
            <w:r>
              <w:rPr/>
              <w:t> </w:t>
            </w:r>
          </w:p>
        </w:tc>
        <w:tc>
          <w:tcPr>
            <w:tcW w:w="9125" w:type="dxa"/>
            <w:tcBorders/>
            <w:vAlign w:val="center"/>
          </w:tcPr>
          <w:p>
            <w:pPr>
              <w:pStyle w:val="TableContents"/>
              <w:bidi w:val="0"/>
              <w:spacing w:before="0" w:after="0"/>
              <w:ind w:left="0" w:right="0" w:hanging="0"/>
              <w:jc w:val="left"/>
              <w:rPr/>
            </w:pPr>
            <w:r>
              <w:rPr/>
              <w:t> </w:t>
            </w:r>
          </w:p>
        </w:tc>
      </w:tr>
      <w:tr>
        <w:trPr/>
        <w:tc>
          <w:tcPr>
            <w:tcW w:w="275" w:type="dxa"/>
            <w:tcBorders/>
            <w:vAlign w:val="center"/>
          </w:tcPr>
          <w:p>
            <w:pPr>
              <w:pStyle w:val="TableContents"/>
              <w:bidi w:val="0"/>
              <w:spacing w:before="0" w:after="0"/>
              <w:ind w:left="0" w:right="0" w:hanging="0"/>
              <w:jc w:val="both"/>
              <w:rPr/>
            </w:pPr>
            <w:r>
              <w:rPr/>
              <w:t>☐</w:t>
            </w:r>
          </w:p>
        </w:tc>
        <w:tc>
          <w:tcPr>
            <w:tcW w:w="912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Soliciting material pursuant to Rule 14a-12 under the Exchange Act (17 CFR 240.14a-12)</w:t>
            </w:r>
          </w:p>
        </w:tc>
      </w:tr>
      <w:tr>
        <w:trPr/>
        <w:tc>
          <w:tcPr>
            <w:tcW w:w="275" w:type="dxa"/>
            <w:tcBorders/>
            <w:vAlign w:val="center"/>
          </w:tcPr>
          <w:p>
            <w:pPr>
              <w:pStyle w:val="TableContents"/>
              <w:bidi w:val="0"/>
              <w:spacing w:before="0" w:after="0"/>
              <w:ind w:left="0" w:right="0" w:hanging="0"/>
              <w:jc w:val="left"/>
              <w:rPr/>
            </w:pPr>
            <w:r>
              <w:rPr/>
              <w:t> </w:t>
            </w:r>
          </w:p>
        </w:tc>
        <w:tc>
          <w:tcPr>
            <w:tcW w:w="9125" w:type="dxa"/>
            <w:tcBorders/>
            <w:vAlign w:val="center"/>
          </w:tcPr>
          <w:p>
            <w:pPr>
              <w:pStyle w:val="TableContents"/>
              <w:bidi w:val="0"/>
              <w:spacing w:before="0" w:after="0"/>
              <w:ind w:left="0" w:right="0" w:hanging="0"/>
              <w:jc w:val="left"/>
              <w:rPr/>
            </w:pPr>
            <w:r>
              <w:rPr/>
              <w:t> </w:t>
            </w:r>
          </w:p>
        </w:tc>
      </w:tr>
      <w:tr>
        <w:trPr/>
        <w:tc>
          <w:tcPr>
            <w:tcW w:w="275" w:type="dxa"/>
            <w:tcBorders/>
            <w:vAlign w:val="center"/>
          </w:tcPr>
          <w:p>
            <w:pPr>
              <w:pStyle w:val="TableContents"/>
              <w:bidi w:val="0"/>
              <w:spacing w:before="0" w:after="0"/>
              <w:ind w:left="0" w:right="0" w:hanging="0"/>
              <w:jc w:val="both"/>
              <w:rPr/>
            </w:pPr>
            <w:r>
              <w:rPr/>
              <w:t>☐</w:t>
            </w:r>
          </w:p>
        </w:tc>
        <w:tc>
          <w:tcPr>
            <w:tcW w:w="912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Pre-commencement communications pursuant to Rule 14d-2(b) under the Exchange Act (17 CFR 240.14d-2(b))</w:t>
            </w:r>
          </w:p>
        </w:tc>
      </w:tr>
      <w:tr>
        <w:trPr/>
        <w:tc>
          <w:tcPr>
            <w:tcW w:w="275" w:type="dxa"/>
            <w:tcBorders/>
            <w:vAlign w:val="center"/>
          </w:tcPr>
          <w:p>
            <w:pPr>
              <w:pStyle w:val="TableContents"/>
              <w:bidi w:val="0"/>
              <w:spacing w:before="0" w:after="0"/>
              <w:ind w:left="0" w:right="0" w:hanging="0"/>
              <w:jc w:val="left"/>
              <w:rPr/>
            </w:pPr>
            <w:r>
              <w:rPr/>
              <w:t> </w:t>
            </w:r>
          </w:p>
        </w:tc>
        <w:tc>
          <w:tcPr>
            <w:tcW w:w="9125" w:type="dxa"/>
            <w:tcBorders/>
            <w:vAlign w:val="center"/>
          </w:tcPr>
          <w:p>
            <w:pPr>
              <w:pStyle w:val="TableContents"/>
              <w:bidi w:val="0"/>
              <w:spacing w:before="0" w:after="0"/>
              <w:ind w:left="0" w:right="0" w:hanging="0"/>
              <w:jc w:val="left"/>
              <w:rPr/>
            </w:pPr>
            <w:r>
              <w:rPr/>
              <w:t> </w:t>
            </w:r>
          </w:p>
        </w:tc>
      </w:tr>
      <w:tr>
        <w:trPr/>
        <w:tc>
          <w:tcPr>
            <w:tcW w:w="275" w:type="dxa"/>
            <w:tcBorders/>
            <w:vAlign w:val="center"/>
          </w:tcPr>
          <w:p>
            <w:pPr>
              <w:pStyle w:val="TableContents"/>
              <w:bidi w:val="0"/>
              <w:spacing w:before="0" w:after="0"/>
              <w:ind w:left="0" w:right="0" w:hanging="0"/>
              <w:jc w:val="both"/>
              <w:rPr/>
            </w:pPr>
            <w:r>
              <w:rPr/>
              <w:t>☐</w:t>
            </w:r>
          </w:p>
        </w:tc>
        <w:tc>
          <w:tcPr>
            <w:tcW w:w="912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ind w:left="0" w:right="0" w:hanging="0"/>
        <w:jc w:val="both"/>
        <w:rPr/>
      </w:pPr>
      <w:r>
        <w:rPr/>
        <w:t> </w:t>
      </w:r>
    </w:p>
    <w:tbl>
      <w:tblPr>
        <w:tblW w:w="9135" w:type="dxa"/>
        <w:jc w:val="left"/>
        <w:tblInd w:w="0" w:type="dxa"/>
        <w:tblLayout w:type="fixed"/>
        <w:tblCellMar>
          <w:top w:w="30" w:type="dxa"/>
          <w:left w:w="30" w:type="dxa"/>
          <w:bottom w:w="0" w:type="dxa"/>
          <w:right w:w="0" w:type="dxa"/>
        </w:tblCellMar>
      </w:tblPr>
      <w:tblGrid>
        <w:gridCol w:w="3605"/>
        <w:gridCol w:w="1700"/>
        <w:gridCol w:w="3830"/>
      </w:tblGrid>
      <w:tr>
        <w:trPr/>
        <w:tc>
          <w:tcPr>
            <w:tcW w:w="3605" w:type="dxa"/>
            <w:tcBorders>
              <w:top w:val="single" w:sz="2" w:space="0" w:color="000000"/>
              <w:left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Title of each class</w:t>
            </w:r>
          </w:p>
        </w:tc>
        <w:tc>
          <w:tcPr>
            <w:tcW w:w="1700" w:type="dxa"/>
            <w:tcBorders>
              <w:top w:val="single" w:sz="2" w:space="0" w:color="000000"/>
              <w:left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Trading Symbol(s)</w:t>
            </w:r>
          </w:p>
        </w:tc>
        <w:tc>
          <w:tcPr>
            <w:tcW w:w="3830" w:type="dxa"/>
            <w:tcBorders>
              <w:top w:val="single" w:sz="2" w:space="0" w:color="000000"/>
              <w:left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Name of each exchange on which registered</w:t>
            </w:r>
          </w:p>
        </w:tc>
      </w:tr>
      <w:tr>
        <w:trPr/>
        <w:tc>
          <w:tcPr>
            <w:tcW w:w="3605"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Common Stock, $0.001 par value per share</w:t>
            </w:r>
          </w:p>
        </w:tc>
        <w:tc>
          <w:tcPr>
            <w:tcW w:w="1700"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PED</w:t>
            </w:r>
          </w:p>
        </w:tc>
        <w:tc>
          <w:tcPr>
            <w:tcW w:w="3830"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NYSE American</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Emerging growth company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pPr>
      <w:r>
        <w:rPr/>
        <w:t> </w:t>
      </w: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Item 7.01 Regulation FD Disclosure.</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September 16, 2026, PEDEVCO Corp. (the “</w:t>
      </w:r>
      <w:r>
        <w:rPr>
          <w:rFonts w:ascii="times new roman" w:hAnsi="times new roman"/>
          <w:sz w:val="20"/>
          <w:u w:val="single"/>
        </w:rPr>
        <w:t>Company</w:t>
      </w:r>
      <w:r>
        <w:rPr>
          <w:rFonts w:ascii="times new roman" w:hAnsi="times new roman"/>
          <w:sz w:val="20"/>
        </w:rPr>
        <w:t xml:space="preserve">”) issued a press release announcing the Company’s acquisition of acreage in Wyoming in the Bureau of Land Management’s lease sale held September 9 and 10, 2026, a copy of which press release is furnished herewith as </w:t>
      </w:r>
      <w:r>
        <w:rPr>
          <w:rFonts w:ascii="times new roman" w:hAnsi="times new roman"/>
          <w:sz w:val="20"/>
          <w:u w:val="single"/>
        </w:rPr>
        <w:t>Exhibit 99.1</w:t>
      </w:r>
      <w:r>
        <w:rPr>
          <w:rFonts w:ascii="times new roman" w:hAnsi="times new roman"/>
          <w:sz w:val="20"/>
        </w:rPr>
        <w:t xml:space="preserve"> and incorporated by reference into this </w:t>
      </w:r>
      <w:r>
        <w:rPr>
          <w:rFonts w:ascii="times new roman" w:hAnsi="times new roman"/>
          <w:sz w:val="20"/>
          <w:u w:val="single"/>
        </w:rPr>
        <w:t>Item 7.01</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information contained in this Current Report (and included in </w:t>
      </w:r>
      <w:r>
        <w:rPr>
          <w:rFonts w:ascii="times new roman" w:hAnsi="times new roman"/>
          <w:sz w:val="20"/>
          <w:u w:val="single"/>
        </w:rPr>
        <w:t>Exhibit 99.1</w:t>
      </w:r>
      <w:r>
        <w:rPr>
          <w:rFonts w:ascii="times new roman" w:hAnsi="times new roman"/>
          <w:sz w:val="20"/>
        </w:rPr>
        <w:t xml:space="preserve"> hereto) shall not be deemed “</w:t>
      </w:r>
      <w:r>
        <w:rPr>
          <w:rFonts w:ascii="times new roman" w:hAnsi="times new roman"/>
          <w:sz w:val="20"/>
          <w:u w:val="single"/>
        </w:rPr>
        <w:t>filed</w:t>
      </w:r>
      <w:r>
        <w:rPr>
          <w:rFonts w:ascii="times new roman" w:hAnsi="times new roman"/>
          <w:sz w:val="20"/>
        </w:rPr>
        <w:t>” for purposes of Section 18 of the Securities Exchange Act of 1934, as amended (the “</w:t>
      </w:r>
      <w:r>
        <w:rPr>
          <w:rFonts w:ascii="times new roman" w:hAnsi="times new roman"/>
          <w:sz w:val="20"/>
          <w:u w:val="single"/>
        </w:rPr>
        <w:t>Exchange Act</w:t>
      </w:r>
      <w:r>
        <w:rPr>
          <w:rFonts w:ascii="times new roman" w:hAnsi="times new roman"/>
          <w:sz w:val="20"/>
        </w:rPr>
        <w:t xml:space="preserve">”), or incorporated by reference in any filing under the Securities Act of 1933, as amended, or the Exchange Act, except as shall be expressly set forth by specific reference in such a filing.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press release furnished as </w:t>
      </w:r>
      <w:r>
        <w:rPr>
          <w:rFonts w:ascii="times new roman" w:hAnsi="times new roman"/>
          <w:sz w:val="20"/>
          <w:u w:val="single"/>
        </w:rPr>
        <w:t>Exhibit 99.1</w:t>
      </w:r>
      <w:r>
        <w:rPr>
          <w:rFonts w:ascii="times new roman" w:hAnsi="times new roman"/>
          <w:sz w:val="20"/>
        </w:rPr>
        <w:t xml:space="preserve"> to this Current Report on Form 8-K contains forward-looking statements within the safe harbor provisions under the federal securities laws, including The Private Securities Litigation Reform Act of 1995, and, as such, may involve known and unknown risks, uncertainties and assumptions. These forward-looking statements relate to the Company’s current expectations and are subject to the limitations and qualifications set forth in the presentation as well as in the Company’s other filings with the Securities and Exchange Commission, including, without limitation, that actual events and/or results may differ materially from those projected in such forward-looking statements. These statements also involve known and unknown risks, which may cause the results of the Company and its subsidiaries to be materially different than those expressed or implied in such statements. Accordingly, readers should not place undue reliance on any forward-looking statements. Forward-looking statements may include comments as to the Company’s beliefs and expectations as to future financial performance, events and trends affecting its business and are necessarily subject to uncertainties, many of which are outside the Company’s control. More information on potential factors that could affect the Company’s financial results is included from time to time in the “</w:t>
      </w:r>
      <w:r>
        <w:rPr>
          <w:rFonts w:ascii="times new roman" w:hAnsi="times new roman"/>
          <w:sz w:val="20"/>
          <w:u w:val="single"/>
        </w:rPr>
        <w:t>Forward-Looking Statements,</w:t>
      </w:r>
      <w:r>
        <w:rPr>
          <w:rFonts w:ascii="times new roman" w:hAnsi="times new roman"/>
          <w:sz w:val="20"/>
        </w:rPr>
        <w:t>” “</w:t>
      </w:r>
      <w:r>
        <w:rPr>
          <w:rFonts w:ascii="times new roman" w:hAnsi="times new roman"/>
          <w:sz w:val="20"/>
          <w:u w:val="single"/>
        </w:rPr>
        <w:t>Risk Factors</w:t>
      </w:r>
      <w:r>
        <w:rPr>
          <w:rFonts w:ascii="times new roman" w:hAnsi="times new roman"/>
          <w:sz w:val="20"/>
        </w:rPr>
        <w:t>” and “</w:t>
      </w:r>
      <w:r>
        <w:rPr>
          <w:rFonts w:ascii="times new roman" w:hAnsi="times new roman"/>
          <w:sz w:val="20"/>
          <w:u w:val="single"/>
        </w:rPr>
        <w:t>Management’s Discussion and Analysis of Financial Condition and Results of Operations</w:t>
      </w:r>
      <w:r>
        <w:rPr>
          <w:rFonts w:ascii="times new roman" w:hAnsi="times new roman"/>
          <w:sz w:val="20"/>
        </w:rPr>
        <w:t>” sections of the Company’s periodic and current filings with the SEC, including the Form 10-Qs and Form 10-Ks, filed with the SEC and available at www.sec.gov and the Company’s website at </w:t>
      </w:r>
      <w:r>
        <w:rPr>
          <w:rFonts w:ascii="times new roman" w:hAnsi="times new roman"/>
          <w:sz w:val="20"/>
          <w:u w:val="single"/>
        </w:rPr>
        <w:t>https://www.PEDEVCO.com/ped/sec_filings</w:t>
      </w:r>
      <w:r>
        <w:rPr>
          <w:rFonts w:ascii="times new roman" w:hAnsi="times new roman"/>
          <w:sz w:val="20"/>
        </w:rPr>
        <w:t>, and specifically including, but not limited to its Annual Report on Form 10-K for the year ended December 31, 2025 and its Quarterly Report on Form 10-Q for the quarter ended June 30, 2026. Forward-looking statements speak only as of the date they are made. The Company undertakes no obligation to publicly update or revise any forward-looking statements, whether as a result of new information, future events or otherwise that occur after that date, except as otherwise provided by law.</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Item 9.01 Financial Statements and Exhibits.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(d) Exhibits.</w:t>
      </w:r>
    </w:p>
    <w:p>
      <w:pPr>
        <w:pStyle w:val="TextBody"/>
        <w:bidi w:val="0"/>
        <w:spacing w:before="0" w:after="0"/>
        <w:ind w:left="0" w:right="0" w:hanging="0"/>
        <w:jc w:val="both"/>
        <w:rPr/>
      </w:pPr>
      <w:r>
        <w:rPr/>
        <w:t> </w:t>
      </w:r>
    </w:p>
    <w:tbl>
      <w:tblPr>
        <w:tblW w:w="6640" w:type="dxa"/>
        <w:jc w:val="left"/>
        <w:tblInd w:w="0" w:type="dxa"/>
        <w:tblLayout w:type="fixed"/>
        <w:tblCellMar>
          <w:top w:w="0" w:type="dxa"/>
          <w:left w:w="0" w:type="dxa"/>
          <w:bottom w:w="28" w:type="dxa"/>
          <w:right w:w="0" w:type="dxa"/>
        </w:tblCellMar>
      </w:tblPr>
      <w:tblGrid>
        <w:gridCol w:w="1025"/>
        <w:gridCol w:w="90"/>
        <w:gridCol w:w="5525"/>
      </w:tblGrid>
      <w:tr>
        <w:trPr/>
        <w:tc>
          <w:tcPr>
            <w:tcW w:w="1025" w:type="dxa"/>
            <w:tcBorders>
              <w:bottom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Exhibit No.</w:t>
            </w:r>
          </w:p>
        </w:tc>
        <w:tc>
          <w:tcPr>
            <w:tcW w:w="90" w:type="dxa"/>
            <w:tcBorders/>
            <w:tcMar>
              <w:bottom w:w="0" w:type="dxa"/>
            </w:tcMar>
            <w:vAlign w:val="center"/>
          </w:tcPr>
          <w:p>
            <w:pPr>
              <w:pStyle w:val="TableContents"/>
              <w:bidi w:val="0"/>
              <w:spacing w:before="0" w:after="0"/>
              <w:ind w:left="0" w:right="0" w:hanging="0"/>
              <w:jc w:val="left"/>
              <w:rPr/>
            </w:pPr>
            <w:r>
              <w:rPr/>
              <w:t> </w:t>
            </w:r>
          </w:p>
        </w:tc>
        <w:tc>
          <w:tcPr>
            <w:tcW w:w="5525" w:type="dxa"/>
            <w:tcBorders>
              <w:bottom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Description</w:t>
            </w:r>
          </w:p>
        </w:tc>
      </w:tr>
      <w:tr>
        <w:trPr/>
        <w:tc>
          <w:tcPr>
            <w:tcW w:w="1025"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5525" w:type="dxa"/>
            <w:tcBorders/>
            <w:tcMar>
              <w:bottom w:w="0" w:type="dxa"/>
            </w:tcMar>
            <w:vAlign w:val="center"/>
          </w:tcPr>
          <w:p>
            <w:pPr>
              <w:pStyle w:val="TableContents"/>
              <w:bidi w:val="0"/>
              <w:spacing w:before="0" w:after="0"/>
              <w:ind w:left="0" w:right="0" w:hanging="0"/>
              <w:jc w:val="left"/>
              <w:rPr/>
            </w:pPr>
            <w:r>
              <w:rPr/>
              <w:t> </w:t>
            </w:r>
          </w:p>
        </w:tc>
      </w:tr>
      <w:tr>
        <w:trPr/>
        <w:tc>
          <w:tcPr>
            <w:tcW w:w="1025" w:type="dxa"/>
            <w:tcBorders/>
            <w:shd w:fill="CCEEFF" w:val="clear"/>
            <w:tcMar>
              <w:bottom w:w="0" w:type="dxa"/>
            </w:tcMar>
            <w:vAlign w:val="center"/>
          </w:tcPr>
          <w:p>
            <w:pPr>
              <w:pStyle w:val="TableContents"/>
              <w:bidi w:val="0"/>
              <w:spacing w:before="0" w:after="0"/>
              <w:ind w:left="0" w:right="0" w:hanging="0"/>
              <w:jc w:val="left"/>
              <w:rPr/>
            </w:pPr>
            <w:hyperlink w:anchor="ped_ex991.htm">
              <w:r>
                <w:rPr>
                  <w:rStyle w:val="InternetLink"/>
                  <w:rFonts w:ascii="times new roman" w:hAnsi="times new roman"/>
                  <w:sz w:val="20"/>
                </w:rPr>
                <w:t>99.1*</w:t>
              </w:r>
            </w:hyperlink>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5525" w:type="dxa"/>
            <w:tcBorders/>
            <w:shd w:fill="CCEEFF" w:val="clear"/>
            <w:tcMar>
              <w:bottom w:w="0" w:type="dxa"/>
            </w:tcMar>
            <w:vAlign w:val="center"/>
          </w:tcPr>
          <w:p>
            <w:pPr>
              <w:pStyle w:val="TableContents"/>
              <w:bidi w:val="0"/>
              <w:spacing w:before="0" w:after="0"/>
              <w:ind w:left="0" w:right="0" w:hanging="0"/>
              <w:jc w:val="left"/>
              <w:rPr/>
            </w:pPr>
            <w:hyperlink w:anchor="ped_ex991.htm">
              <w:r>
                <w:rPr>
                  <w:rStyle w:val="InternetLink"/>
                  <w:rFonts w:ascii="times new roman" w:hAnsi="times new roman"/>
                  <w:sz w:val="20"/>
                </w:rPr>
                <w:t>Press Release dated September 16, 2026</w:t>
              </w:r>
            </w:hyperlink>
          </w:p>
        </w:tc>
      </w:tr>
      <w:tr>
        <w:trPr/>
        <w:tc>
          <w:tcPr>
            <w:tcW w:w="102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104</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552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Inline XBRL for the cover page of this Current Report on Form 8-K</w:t>
            </w:r>
          </w:p>
        </w:tc>
      </w:tr>
    </w:tbl>
    <w:p>
      <w:pPr>
        <w:pStyle w:val="TextBody"/>
        <w:bidi w:val="0"/>
        <w:spacing w:before="0" w:after="0"/>
        <w:ind w:left="0" w:right="0" w:hanging="0"/>
        <w:jc w:val="center"/>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Furnished herewith.</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Style w:val="Emphasis"/>
          <w:rFonts w:ascii="times new roman" w:hAnsi="times new roman"/>
          <w:sz w:val="20"/>
        </w:rPr>
        <w:t>The inclusion of any website address in this Form 8-K, and any exhibit thereto, is intended to be an inactive textual reference only and not an active hyperlink. The information contained in, or that can be accessed through, such website is not part of or incorporated into this Form 8-K.</w:t>
      </w:r>
    </w:p>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2</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SIGNATURES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pPr>
      <w:r>
        <w:rPr/>
        <w:t> </w:t>
      </w:r>
    </w:p>
    <w:tbl>
      <w:tblPr>
        <w:tblW w:w="5805" w:type="dxa"/>
        <w:jc w:val="left"/>
        <w:tblInd w:w="0" w:type="dxa"/>
        <w:tblLayout w:type="fixed"/>
        <w:tblCellMar>
          <w:top w:w="0" w:type="dxa"/>
          <w:left w:w="0" w:type="dxa"/>
          <w:bottom w:w="0" w:type="dxa"/>
          <w:right w:w="0" w:type="dxa"/>
        </w:tblCellMar>
      </w:tblPr>
      <w:tblGrid>
        <w:gridCol w:w="2165"/>
        <w:gridCol w:w="395"/>
        <w:gridCol w:w="3110"/>
        <w:gridCol w:w="135"/>
      </w:tblGrid>
      <w:tr>
        <w:trPr/>
        <w:tc>
          <w:tcPr>
            <w:tcW w:w="2165" w:type="dxa"/>
            <w:tcBorders/>
            <w:vAlign w:val="center"/>
          </w:tcPr>
          <w:p>
            <w:pPr>
              <w:pStyle w:val="TableContents"/>
              <w:bidi w:val="0"/>
              <w:spacing w:before="0" w:after="283"/>
              <w:jc w:val="left"/>
              <w:rPr/>
            </w:pPr>
            <w:r>
              <w:rPr/>
              <w:t> </w:t>
            </w:r>
          </w:p>
        </w:tc>
        <w:tc>
          <w:tcPr>
            <w:tcW w:w="3505"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rPr>
              <w:t>PEDEVCO CORP.</w:t>
            </w:r>
          </w:p>
        </w:tc>
        <w:tc>
          <w:tcPr>
            <w:tcW w:w="135"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September 16, 2026</w:t>
            </w:r>
          </w:p>
        </w:tc>
        <w:tc>
          <w:tcPr>
            <w:tcW w:w="395" w:type="dxa"/>
            <w:tcBorders/>
            <w:vAlign w:val="center"/>
          </w:tcPr>
          <w:p>
            <w:pPr>
              <w:pStyle w:val="TableContents"/>
              <w:bidi w:val="0"/>
              <w:spacing w:before="0" w:after="283"/>
              <w:jc w:val="left"/>
              <w:rPr/>
            </w:pPr>
            <w:r>
              <w:rPr/>
              <w:t>By:</w:t>
            </w:r>
          </w:p>
        </w:tc>
        <w:tc>
          <w:tcPr>
            <w:tcW w:w="3110" w:type="dxa"/>
            <w:tcBorders>
              <w:bottom w:val="single" w:sz="2" w:space="0" w:color="000000"/>
            </w:tcBorders>
            <w:tcMar>
              <w:bottom w:w="28" w:type="dxa"/>
            </w:tcMar>
            <w:vAlign w:val="center"/>
          </w:tcPr>
          <w:p>
            <w:pPr>
              <w:pStyle w:val="TableContents"/>
              <w:bidi w:val="0"/>
              <w:spacing w:before="0" w:after="0"/>
              <w:ind w:left="0" w:right="0" w:hanging="0"/>
              <w:jc w:val="left"/>
              <w:rPr/>
            </w:pPr>
            <w:r>
              <w:rPr>
                <w:rStyle w:val="Emphasis"/>
                <w:rFonts w:ascii="times new roman" w:hAnsi="times new roman"/>
                <w:sz w:val="20"/>
              </w:rPr>
              <w:t>/s/ J. Douglas Schick</w:t>
            </w:r>
          </w:p>
        </w:tc>
        <w:tc>
          <w:tcPr>
            <w:tcW w:w="135"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hanging="0"/>
              <w:jc w:val="left"/>
              <w:rPr/>
            </w:pPr>
            <w:r>
              <w:rPr/>
              <w:t> </w:t>
            </w:r>
          </w:p>
        </w:tc>
        <w:tc>
          <w:tcPr>
            <w:tcW w:w="311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 Douglas Schick</w:t>
            </w:r>
          </w:p>
        </w:tc>
        <w:tc>
          <w:tcPr>
            <w:tcW w:w="13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President and Chief Executive Officer</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3</w:t>
            </w:r>
          </w:p>
        </w:tc>
      </w:tr>
    </w:tbl>
    <w:p>
      <w:pPr>
        <w:pStyle w:val="TextBody"/>
        <w:bidi w:val="0"/>
        <w:spacing w:before="0" w:after="0"/>
        <w:ind w:left="0" w:right="0" w:hanging="0"/>
        <w:jc w:val="both"/>
        <w:rPr/>
      </w:pPr>
      <w:r>
        <w:rPr/>
        <w:t> </w:t>
      </w:r>
    </w:p>
    <w:p>
      <w:pPr>
        <w:pStyle w:val="TextBody"/>
        <w:bidi w:val="0"/>
        <w:spacing w:before="0" w:after="0"/>
        <w:ind w:left="0" w:right="0" w:hanging="0"/>
        <w:jc w:val="right"/>
        <w:rPr/>
      </w:pPr>
      <w:bookmarkStart w:id="0" w:name="ped_ex991.htm"/>
      <w:bookmarkStart w:id="1" w:name="ksped_ex991"/>
      <w:bookmarkEnd w:id="0"/>
      <w:bookmarkEnd w:id="1"/>
      <w:r>
        <w:rPr>
          <w:rStyle w:val="StrongEmphasis"/>
          <w:rFonts w:ascii="times new roman" w:hAnsi="times new roman"/>
          <w:sz w:val="20"/>
        </w:rPr>
        <w:t>EXHIBIT 99.1</w:t>
      </w:r>
      <w:r>
        <w:br w:type="page"/>
      </w:r>
    </w:p>
    <w:p>
      <w:pPr>
        <w:pStyle w:val="TextBody"/>
        <w:bidi w:val="0"/>
        <w:spacing w:before="0" w:after="0"/>
        <w:ind w:left="0" w:right="0" w:hanging="0"/>
        <w:jc w:val="both"/>
        <w:rPr/>
      </w:pPr>
      <w:r>
        <w:rPr/>
        <w:t> </w:t>
      </w:r>
    </w:p>
    <w:p>
      <w:pPr>
        <w:pStyle w:val="TextBody"/>
        <w:bidi w:val="0"/>
        <w:spacing w:before="0" w:after="0"/>
        <w:ind w:left="0" w:right="0" w:hanging="0"/>
        <w:jc w:val="center"/>
        <w:rPr/>
      </w:pPr>
      <w:r>
        <w:rPr/>
        <w:drawing>
          <wp:inline distT="0" distB="0" distL="0" distR="0">
            <wp:extent cx="1685925" cy="295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85925" cy="295275"/>
                    </a:xfrm>
                    <a:prstGeom prst="rect">
                      <a:avLst/>
                    </a:prstGeom>
                  </pic:spPr>
                </pic:pic>
              </a:graphicData>
            </a:graphic>
          </wp:inline>
        </w:drawing>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PEDEVCO Corp. Acquires 5,678 Net Acres in Wyoming BLM Lease Sale, Expanding Mowry Shale Position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HOUSTON, TX, September 16, 2026</w:t>
      </w:r>
      <w:r>
        <w:rPr>
          <w:rFonts w:ascii="times new roman" w:hAnsi="times new roman"/>
          <w:sz w:val="20"/>
        </w:rPr>
        <w:t xml:space="preserve"> </w:t>
      </w:r>
      <w:r>
        <w:rPr>
          <w:rStyle w:val="StrongEmphasis"/>
          <w:rFonts w:ascii="times new roman" w:hAnsi="times new roman"/>
          <w:sz w:val="20"/>
        </w:rPr>
        <w:t>(GLOBE NEWSWIRE)</w:t>
      </w:r>
      <w:r>
        <w:rPr>
          <w:rFonts w:ascii="times new roman" w:hAnsi="times new roman"/>
          <w:sz w:val="20"/>
        </w:rPr>
        <w:t xml:space="preserve"> – PEDEVCO Corp. (NYSE American: PED) (“PEDEVCO” or the “Company”), a domestic energy company engaged in the acquisition and development of strategic oil and gas assets in the Rocky Mountain region, today announced that it was the high bidder on multiple tracts in the Bureau of Land Management (“BLM”) competitive lease sale held September 9-10, 2026, acquiring approximately 5,678 net acres in Wyoming for approximately $5.9 million, or $1,045 per net acre in the highly prospective Mowry formation in the Powder River Basin. The acquisition was funded through cash on hand.</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Acquisition Highlights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140"/>
        <w:gridCol w:w="9960"/>
      </w:tblGrid>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left"/>
              <w:rPr/>
            </w:pPr>
            <w:r>
              <w:rPr>
                <w:rStyle w:val="StrongEmphasis"/>
              </w:rPr>
              <w:t>Prime Location:</w:t>
            </w:r>
            <w:r>
              <w:rPr/>
              <w:t xml:space="preserve"> Expands PEDEVCO’s presence in a highly prospective area of the Powder River Basin targeting the emerging Mowry play in this area.</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left"/>
              <w:rPr/>
            </w:pPr>
            <w:r>
              <w:rPr>
                <w:rStyle w:val="StrongEmphasis"/>
              </w:rPr>
              <w:t xml:space="preserve">Strategic Fit: </w:t>
            </w:r>
            <w:r>
              <w:rPr/>
              <w:t>Builds on the Company’s existing Mowry acreage, nearly doubling its position to approximately 12,000 net acres in this specific prospect area.</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left"/>
              <w:rPr/>
            </w:pPr>
            <w:r>
              <w:rPr>
                <w:rStyle w:val="StrongEmphasis"/>
              </w:rPr>
              <w:t>Favorable Lease Terms:</w:t>
            </w:r>
            <w:r>
              <w:rPr/>
              <w:t xml:space="preserve"> Ten-year lease terms and a 12.5% royalty rate provide a long-term development window and allow the Company to retain 87.5% Net Revenue Interest.</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left"/>
              <w:rPr/>
            </w:pPr>
            <w:r>
              <w:rPr>
                <w:rStyle w:val="StrongEmphasis"/>
              </w:rPr>
              <w:t xml:space="preserve">Compelling Geological Characteristics: </w:t>
            </w:r>
            <w:r>
              <w:rPr/>
              <w:t>Targets the organic-rich, silica-rich Middle Mowry formation, which extends from nearby producing areas into PEDEVCO’s acreage.</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left"/>
              <w:rPr/>
            </w:pPr>
            <w:r>
              <w:rPr>
                <w:rStyle w:val="StrongEmphasis"/>
              </w:rPr>
              <w:t>Strong Regional Productivity:</w:t>
            </w:r>
            <w:r>
              <w:rPr/>
              <w:t xml:space="preserve"> Nearby horizontal Mowry wells averaged approximately 1,400 Boe/d during their peak month of production, demonstrating the formation’s development potential in this area.</w:t>
            </w:r>
          </w:p>
        </w:tc>
      </w:tr>
    </w:tbl>
    <w:p>
      <w:pPr>
        <w:pStyle w:val="TextBody"/>
        <w:bidi w:val="0"/>
        <w:spacing w:before="0" w:after="0"/>
        <w:ind w:left="0" w:right="0" w:hanging="0"/>
        <w:jc w:val="left"/>
        <w:rPr/>
      </w:pPr>
      <w:r>
        <w:rPr/>
        <w:t xml:space="preserve">  </w:t>
      </w:r>
    </w:p>
    <w:p>
      <w:pPr>
        <w:pStyle w:val="TextBody"/>
        <w:bidi w:val="0"/>
        <w:spacing w:before="0" w:after="0"/>
        <w:ind w:left="0" w:right="0" w:hanging="0"/>
        <w:jc w:val="both"/>
        <w:rPr>
          <w:rFonts w:ascii="times new roman" w:hAnsi="times new roman"/>
          <w:sz w:val="20"/>
        </w:rPr>
      </w:pPr>
      <w:r>
        <w:rPr>
          <w:rFonts w:ascii="times new roman" w:hAnsi="times new roman"/>
          <w:sz w:val="20"/>
        </w:rPr>
        <w:t>J. Douglas Schick, President and Chief Executive Officer of PEDEVCO, commented, “This BLM lease sale presented an opportunity to secure acreage that can play a defining role in PEDEVCO’s future. We are very pleased to have been the high bidder on these highly strategic BLM tracts, which directly offset a portion of our existing Mowry position and represent a natural and compelling extension of our core operating area in Wyoming. These leases were acquired at an attractive cost basis and, with a 10-year primary term, give us significant flexibility to develop them in a disciplined and value-accretive manner. We believe PEDEVCO is exceptionally well-positioned to build a scalable, high-return development program in the still developing Mowry play.”</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r>
        <w:rPr>
          <w:rFonts w:ascii="times new roman" w:hAnsi="times new roman"/>
          <w:sz w:val="20"/>
        </w:rPr>
        <w:t>What excites us most is the significance this opportunity holds for a company of our size. The Mowry could potentially become a cornerstone of our portfolio, with successful development establishing a repeatable drilling program and a substantially larger production and cash flow base. Securing this position gives us greater scope to build a meaningful development program and participate in the value created as the play advances. The geological characteristics of these tracts are consistent with what we have observed across our existing acreage and reinforce our confidence in the Mowry's long-term development potential. We look forward to continuing to execute on our growth strategy and creating value for our shareholders.”</w:t>
      </w:r>
    </w:p>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1</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drawing>
          <wp:inline distT="0" distB="0" distL="0" distR="0">
            <wp:extent cx="1685925" cy="295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85925" cy="295275"/>
                    </a:xfrm>
                    <a:prstGeom prst="rect">
                      <a:avLst/>
                    </a:prstGeom>
                  </pic:spPr>
                </pic:pic>
              </a:graphicData>
            </a:graphic>
          </wp:inline>
        </w:drawing>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About PEDEVCO Corp</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PEDEVCO Corp. (NYSE American: PED) is a publicly traded energy company engaged in the acquisition and development of strategic oil and gas assets in the Rocky Mountain region. The Company’s principal assets include its D-J Basin assets in southeastern Wyoming and northern Colorado, its Powder River Basin assets in northeastern Wyoming, and its Permian Basin assets in eastern New Mexico, collectively representing over 300,000 net acres. PEDEVCO is headquartered in Houston, Texas. More information about PEDEVCO can be found at </w:t>
      </w:r>
      <w:r>
        <w:rPr>
          <w:rFonts w:ascii="times new roman" w:hAnsi="times new roman"/>
          <w:sz w:val="20"/>
          <w:u w:val="single"/>
        </w:rPr>
        <w:t>www.pedevco.com</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Cautionary Statement</w:t>
      </w:r>
    </w:p>
    <w:p>
      <w:pPr>
        <w:pStyle w:val="TextBody"/>
        <w:bidi w:val="0"/>
        <w:spacing w:before="0" w:after="0"/>
        <w:ind w:left="0" w:right="0" w:hanging="0"/>
        <w:jc w:val="both"/>
        <w:rPr>
          <w:rFonts w:ascii="times new roman" w:hAnsi="times new roman"/>
          <w:sz w:val="20"/>
        </w:rPr>
      </w:pPr>
      <w:r>
        <w:rPr>
          <w:rFonts w:ascii="times new roman" w:hAnsi="times new roman"/>
          <w:sz w:val="20"/>
        </w:rPr>
        <w:t>This press release contains forward-looking statements regarding the Company’s expectations, plans and objectives, including statements concerning the acquisition and expansion of its Mowry acreage position, the geological and commercial potential of the Mowry formation, prospective drilling inventory, future development and production growth, and the potential significance of the opportunity to PEDEVCO. Words such as “believe,” “expect,” “may,” “potential,” “plans,” “will” and similar expressions identify forward-looking statements. These statements are based on current expectations and assumptions and are subject to risks and uncertainties that could cause actual results to differ materially, including geological and drilling risks, the applicability of regional well results to the Company’s acreage, commodity prices, development costs, access to capital and infrastructure, lease issuance and permitting, and environmental and other regulatory requirements. Prospective acreage does not constitute proved reserves, and there can be no assurance that the acreage will be commercially developed or that the anticipated benefits will be realized. Additional risks are described under “Risk Factors” and elsewhere in the Company’s reports filed with the Securities and Exchange Commission. The Company undertakes no obligation to update forward-looking statements except as required by law.</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Media Contact</w:t>
      </w:r>
    </w:p>
    <w:p>
      <w:pPr>
        <w:pStyle w:val="TextBody"/>
        <w:bidi w:val="0"/>
        <w:spacing w:before="0" w:after="0"/>
        <w:ind w:left="0" w:right="0" w:hanging="0"/>
        <w:jc w:val="both"/>
        <w:rPr>
          <w:rFonts w:ascii="times new roman" w:hAnsi="times new roman"/>
          <w:sz w:val="20"/>
        </w:rPr>
      </w:pPr>
      <w:r>
        <w:rPr>
          <w:rFonts w:ascii="times new roman" w:hAnsi="times new roman"/>
          <w:sz w:val="20"/>
        </w:rPr>
        <w:t>PEDEVCO Corp.</w:t>
      </w:r>
    </w:p>
    <w:p>
      <w:pPr>
        <w:pStyle w:val="TextBody"/>
        <w:bidi w:val="0"/>
        <w:spacing w:before="0" w:after="0"/>
        <w:ind w:left="0" w:right="0" w:hanging="0"/>
        <w:jc w:val="both"/>
        <w:rPr>
          <w:rFonts w:ascii="times new roman" w:hAnsi="times new roman"/>
          <w:sz w:val="20"/>
        </w:rPr>
      </w:pPr>
      <w:r>
        <w:rPr>
          <w:rFonts w:ascii="times new roman" w:hAnsi="times new roman"/>
          <w:sz w:val="20"/>
        </w:rPr>
        <w:t>(713) 221-1768</w:t>
      </w:r>
    </w:p>
    <w:p>
      <w:pPr>
        <w:pStyle w:val="TextBody"/>
        <w:bidi w:val="0"/>
        <w:spacing w:before="0" w:after="0"/>
        <w:ind w:left="0" w:right="0" w:hanging="0"/>
        <w:jc w:val="both"/>
        <w:rPr>
          <w:rFonts w:ascii="times new roman" w:hAnsi="times new roman"/>
          <w:sz w:val="20"/>
        </w:rPr>
      </w:pPr>
      <w:r>
        <w:rPr>
          <w:rFonts w:ascii="times new roman" w:hAnsi="times new roman"/>
          <w:sz w:val="20"/>
        </w:rPr>
        <w:t>PR@pedevco.com</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Investor Relations Contact</w:t>
      </w:r>
    </w:p>
    <w:p>
      <w:pPr>
        <w:pStyle w:val="TextBody"/>
        <w:bidi w:val="0"/>
        <w:spacing w:before="0" w:after="0"/>
        <w:ind w:left="0" w:right="0" w:hanging="0"/>
        <w:jc w:val="both"/>
        <w:rPr>
          <w:rFonts w:ascii="times new roman" w:hAnsi="times new roman"/>
          <w:sz w:val="20"/>
        </w:rPr>
      </w:pPr>
      <w:r>
        <w:rPr>
          <w:rFonts w:ascii="times new roman" w:hAnsi="times new roman"/>
          <w:sz w:val="20"/>
        </w:rPr>
        <w:t>Sean Mansouri, CFA or Laurent Weil</w:t>
      </w:r>
    </w:p>
    <w:p>
      <w:pPr>
        <w:pStyle w:val="TextBody"/>
        <w:bidi w:val="0"/>
        <w:spacing w:before="0" w:after="0"/>
        <w:ind w:left="0" w:right="0" w:hanging="0"/>
        <w:jc w:val="both"/>
        <w:rPr>
          <w:rFonts w:ascii="times new roman" w:hAnsi="times new roman"/>
          <w:sz w:val="20"/>
        </w:rPr>
      </w:pPr>
      <w:r>
        <w:rPr>
          <w:rFonts w:ascii="times new roman" w:hAnsi="times new roman"/>
          <w:sz w:val="20"/>
        </w:rPr>
        <w:t>Elevate IR</w:t>
      </w:r>
    </w:p>
    <w:p>
      <w:pPr>
        <w:pStyle w:val="TextBody"/>
        <w:bidi w:val="0"/>
        <w:spacing w:before="0" w:after="0"/>
        <w:ind w:left="0" w:right="0" w:hanging="0"/>
        <w:jc w:val="both"/>
        <w:rPr>
          <w:rFonts w:ascii="times new roman" w:hAnsi="times new roman"/>
          <w:sz w:val="20"/>
        </w:rPr>
      </w:pPr>
      <w:r>
        <w:rPr>
          <w:rFonts w:ascii="times new roman" w:hAnsi="times new roman"/>
          <w:sz w:val="20"/>
        </w:rPr>
        <w:t>(720) 330-2829</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PED@elevate-ir.com </w:t>
      </w:r>
    </w:p>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2</w:t>
            </w:r>
          </w:p>
        </w:tc>
      </w:tr>
    </w:tbl>
    <w:p>
      <w:pPr>
        <w:pStyle w:val="TextBody"/>
        <w:bidi w:val="0"/>
        <w:spacing w:before="0" w:after="0"/>
        <w:ind w:left="0" w:right="0" w:hanging="0"/>
        <w:jc w:val="both"/>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1648</Words>
  <Characters>9400</Characters>
  <CharactersWithSpaces>11046</CharactersWithSpaces>
  <Paragraphs>187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