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36"/>
        </w:rPr>
        <w:t>FORM 8-K</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CURRENT REPORT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PURSUANT TO SECTION 13 OR 15(D) OF THE SECURITIES EXCHANGE ACT OF 1934</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Fonts w:ascii="times new roman" w:hAnsi="times new roman"/>
          <w:sz w:val="20"/>
        </w:rPr>
        <w:t xml:space="preserve">Date of Report (Date of Earliest Event Reported): </w:t>
      </w:r>
      <w:r>
        <w:rPr>
          <w:rStyle w:val="StrongEmphasis"/>
          <w:rFonts w:ascii="times new roman" w:hAnsi="times new roman"/>
          <w:sz w:val="20"/>
        </w:rPr>
        <w:t>August 27, 2026</w:t>
      </w:r>
    </w:p>
    <w:p>
      <w:pPr>
        <w:pStyle w:val="TextBody"/>
        <w:bidi w:val="0"/>
        <w:spacing w:before="0" w:after="0"/>
        <w:ind w:left="0" w:right="0" w:hanging="0"/>
        <w:jc w:val="both"/>
        <w:rPr/>
      </w:pPr>
      <w:r>
        <w:rPr/>
        <w:t> </w:t>
      </w:r>
    </w:p>
    <w:tbl>
      <w:tblPr>
        <w:tblW w:w="4460" w:type="dxa"/>
        <w:jc w:val="left"/>
        <w:tblInd w:w="0" w:type="dxa"/>
        <w:tblLayout w:type="fixed"/>
        <w:tblCellMar>
          <w:top w:w="0" w:type="dxa"/>
          <w:left w:w="0" w:type="dxa"/>
          <w:bottom w:w="28" w:type="dxa"/>
          <w:right w:w="0" w:type="dxa"/>
        </w:tblCellMar>
      </w:tblPr>
      <w:tblGrid>
        <w:gridCol w:w="4460"/>
      </w:tblGrid>
      <w:tr>
        <w:trPr/>
        <w:tc>
          <w:tcPr>
            <w:tcW w:w="44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446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(Exact name of registrant as specified in its charter)</w:t>
            </w:r>
          </w:p>
        </w:tc>
      </w:tr>
    </w:tbl>
    <w:p>
      <w:pPr>
        <w:pStyle w:val="TextBody"/>
        <w:bidi w:val="0"/>
        <w:spacing w:before="0" w:after="0"/>
        <w:ind w:left="0" w:right="0" w:hanging="0"/>
        <w:jc w:val="left"/>
        <w:rPr/>
      </w:pPr>
      <w:r>
        <w:rPr/>
        <w:t xml:space="preserve">  </w:t>
      </w:r>
    </w:p>
    <w:tbl>
      <w:tblPr>
        <w:tblW w:w="5820" w:type="dxa"/>
        <w:jc w:val="left"/>
        <w:tblInd w:w="0" w:type="dxa"/>
        <w:tblLayout w:type="fixed"/>
        <w:tblCellMar>
          <w:top w:w="0" w:type="dxa"/>
          <w:left w:w="0" w:type="dxa"/>
          <w:bottom w:w="28" w:type="dxa"/>
          <w:right w:w="0" w:type="dxa"/>
        </w:tblCellMar>
      </w:tblPr>
      <w:tblGrid>
        <w:gridCol w:w="2750"/>
        <w:gridCol w:w="90"/>
        <w:gridCol w:w="1205"/>
        <w:gridCol w:w="90"/>
        <w:gridCol w:w="1685"/>
      </w:tblGrid>
      <w:tr>
        <w:trPr/>
        <w:tc>
          <w:tcPr>
            <w:tcW w:w="275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Texas</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20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001-35922</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8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22-3755993</w:t>
            </w:r>
          </w:p>
        </w:tc>
      </w:tr>
      <w:tr>
        <w:trPr/>
        <w:tc>
          <w:tcPr>
            <w:tcW w:w="275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(State or other jurisdiction of</w:t>
            </w:r>
          </w:p>
          <w:p>
            <w:pPr>
              <w:pStyle w:val="TableContents"/>
              <w:bidi w:val="0"/>
              <w:spacing w:before="0" w:after="0"/>
              <w:ind w:left="0" w:right="0" w:hanging="0"/>
              <w:jc w:val="center"/>
              <w:rPr/>
            </w:pPr>
            <w:r>
              <w:rPr/>
              <w:t> </w:t>
            </w:r>
            <w:r>
              <w:rPr>
                <w:rStyle w:val="StrongEmphasis"/>
                <w:rFonts w:ascii="times new roman" w:hAnsi="times new roman"/>
                <w:sz w:val="20"/>
              </w:rPr>
              <w:t>incorporation or organization)</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20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(Commission </w:t>
            </w:r>
          </w:p>
          <w:p>
            <w:pPr>
              <w:pStyle w:val="TableContents"/>
              <w:bidi w:val="0"/>
              <w:spacing w:before="0" w:after="0"/>
              <w:ind w:left="0" w:right="0" w:hanging="0"/>
              <w:jc w:val="center"/>
              <w:rPr/>
            </w:pPr>
            <w:r>
              <w:rPr>
                <w:rStyle w:val="StrongEmphasis"/>
                <w:rFonts w:ascii="times new roman" w:hAnsi="times new roman"/>
                <w:sz w:val="20"/>
              </w:rPr>
              <w:t>file number)</w:t>
            </w:r>
            <w:r>
              <w:rPr>
                <w:rFonts w:ascii="times new roman" w:hAnsi="times new roman"/>
                <w:sz w:val="20"/>
              </w:rPr>
              <w:t> </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8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(IRS Employer</w:t>
            </w:r>
          </w:p>
          <w:p>
            <w:pPr>
              <w:pStyle w:val="TableContents"/>
              <w:bidi w:val="0"/>
              <w:spacing w:before="0" w:after="0"/>
              <w:ind w:left="0" w:right="0" w:hanging="0"/>
              <w:jc w:val="center"/>
              <w:rPr/>
            </w:pPr>
            <w:r>
              <w:rPr>
                <w:rStyle w:val="StrongEmphasis"/>
              </w:rPr>
              <w:t> </w:t>
            </w:r>
            <w:r>
              <w:rPr>
                <w:rStyle w:val="StrongEmphasis"/>
                <w:rFonts w:ascii="times new roman" w:hAnsi="times new roman"/>
                <w:sz w:val="20"/>
              </w:rPr>
              <w:t>Identification</w:t>
            </w:r>
            <w:r>
              <w:rPr>
                <w:rFonts w:ascii="times new roman" w:hAnsi="times new roman"/>
                <w:sz w:val="20"/>
              </w:rPr>
              <w:t> </w:t>
            </w:r>
            <w:r>
              <w:rPr>
                <w:rStyle w:val="StrongEmphasis"/>
                <w:rFonts w:ascii="times new roman" w:hAnsi="times new roman"/>
                <w:sz w:val="20"/>
              </w:rPr>
              <w:t>No.)</w:t>
            </w:r>
          </w:p>
        </w:tc>
      </w:tr>
    </w:tbl>
    <w:p>
      <w:pPr>
        <w:pStyle w:val="TextBody"/>
        <w:bidi w:val="0"/>
        <w:spacing w:before="0" w:after="0"/>
        <w:ind w:left="0" w:right="0" w:hanging="0"/>
        <w:jc w:val="center"/>
        <w:rPr/>
      </w:pPr>
      <w:r>
        <w:rPr/>
        <w:t> </w:t>
      </w:r>
    </w:p>
    <w:tbl>
      <w:tblPr>
        <w:tblW w:w="4525" w:type="dxa"/>
        <w:jc w:val="left"/>
        <w:tblInd w:w="0" w:type="dxa"/>
        <w:tblLayout w:type="fixed"/>
        <w:tblCellMar>
          <w:top w:w="0" w:type="dxa"/>
          <w:left w:w="0" w:type="dxa"/>
          <w:bottom w:w="28" w:type="dxa"/>
          <w:right w:w="0" w:type="dxa"/>
        </w:tblCellMar>
      </w:tblPr>
      <w:tblGrid>
        <w:gridCol w:w="3380"/>
        <w:gridCol w:w="90"/>
        <w:gridCol w:w="1055"/>
      </w:tblGrid>
      <w:tr>
        <w:trPr/>
        <w:tc>
          <w:tcPr>
            <w:tcW w:w="338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575 N. Dairy Ashford, Suite 210</w:t>
            </w:r>
          </w:p>
          <w:p>
            <w:pPr>
              <w:pStyle w:val="TableContents"/>
              <w:bidi w:val="0"/>
              <w:spacing w:before="0" w:after="0"/>
              <w:ind w:left="0" w:right="0" w:hanging="0"/>
              <w:jc w:val="center"/>
              <w:rPr/>
            </w:pPr>
            <w:r>
              <w:rPr>
                <w:rStyle w:val="StrongEmphasis"/>
                <w:rFonts w:ascii="times new roman" w:hAnsi="times new roman"/>
                <w:sz w:val="20"/>
              </w:rPr>
              <w:t xml:space="preserve">Houston, Texas </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05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77079 </w:t>
            </w:r>
            <w:r>
              <w:rPr>
                <w:rFonts w:ascii="times new roman" w:hAnsi="times new roman"/>
                <w:sz w:val="20"/>
              </w:rPr>
              <w:t> </w:t>
            </w:r>
          </w:p>
        </w:tc>
      </w:tr>
      <w:tr>
        <w:trPr/>
        <w:tc>
          <w:tcPr>
            <w:tcW w:w="3380" w:type="dxa"/>
            <w:tcBorders/>
            <w:tcMar>
              <w:bottom w:w="0" w:type="dxa"/>
            </w:tcMar>
            <w:vAlign w:val="center"/>
          </w:tcPr>
          <w:p>
            <w:pPr>
              <w:pStyle w:val="TableContents"/>
              <w:bidi w:val="0"/>
              <w:spacing w:before="0" w:after="0"/>
              <w:ind w:left="0" w:right="0" w:hanging="0"/>
              <w:jc w:val="center"/>
              <w:rPr/>
            </w:pPr>
            <w:r>
              <w:rPr>
                <w:rStyle w:val="StrongEmphasis"/>
              </w:rPr>
              <w:t> </w:t>
            </w:r>
            <w:r>
              <w:rPr>
                <w:rStyle w:val="StrongEmphasis"/>
                <w:rFonts w:ascii="times new roman" w:hAnsi="times new roman"/>
                <w:sz w:val="20"/>
              </w:rPr>
              <w:t>(Address of principal executive offices)</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055" w:type="dxa"/>
            <w:tcBorders/>
            <w:tcMar>
              <w:bottom w:w="0" w:type="dxa"/>
            </w:tcMar>
            <w:vAlign w:val="center"/>
          </w:tcPr>
          <w:p>
            <w:pPr>
              <w:pStyle w:val="TableContents"/>
              <w:bidi w:val="0"/>
              <w:spacing w:before="0" w:after="0"/>
              <w:ind w:left="0" w:right="0" w:hanging="0"/>
              <w:jc w:val="center"/>
              <w:rPr/>
            </w:pPr>
            <w:r>
              <w:rPr/>
              <w:t> </w:t>
            </w:r>
            <w:r>
              <w:rPr>
                <w:rStyle w:val="StrongEmphasis"/>
                <w:rFonts w:ascii="times new roman" w:hAnsi="times new roman"/>
                <w:sz w:val="20"/>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 xml:space="preserve">Registrant’s telephone number, including area code: </w:t>
      </w:r>
      <w:r>
        <w:rPr>
          <w:rStyle w:val="StrongEmphasis"/>
          <w:rFonts w:ascii="times new roman" w:hAnsi="times new roman"/>
          <w:sz w:val="20"/>
          <w:u w:val="single"/>
        </w:rPr>
        <w:t>(713) 221-1768</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pPr>
      <w:r>
        <w:rPr/>
        <w:t> </w:t>
      </w:r>
    </w:p>
    <w:tbl>
      <w:tblPr>
        <w:tblW w:w="9400" w:type="dxa"/>
        <w:jc w:val="left"/>
        <w:tblInd w:w="0" w:type="dxa"/>
        <w:tblLayout w:type="fixed"/>
        <w:tblCellMar>
          <w:top w:w="0" w:type="dxa"/>
          <w:left w:w="0" w:type="dxa"/>
          <w:bottom w:w="0" w:type="dxa"/>
          <w:right w:w="0" w:type="dxa"/>
        </w:tblCellMar>
      </w:tblPr>
      <w:tblGrid>
        <w:gridCol w:w="275"/>
        <w:gridCol w:w="9125"/>
      </w:tblGrid>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both"/>
        <w:rPr/>
      </w:pPr>
      <w:r>
        <w:rPr/>
        <w:t> </w:t>
      </w:r>
    </w:p>
    <w:tbl>
      <w:tblPr>
        <w:tblW w:w="9045" w:type="dxa"/>
        <w:jc w:val="left"/>
        <w:tblInd w:w="0" w:type="dxa"/>
        <w:tblLayout w:type="fixed"/>
        <w:tblCellMar>
          <w:top w:w="28" w:type="dxa"/>
          <w:left w:w="28" w:type="dxa"/>
          <w:bottom w:w="0" w:type="dxa"/>
          <w:right w:w="0" w:type="dxa"/>
        </w:tblCellMar>
      </w:tblPr>
      <w:tblGrid>
        <w:gridCol w:w="3635"/>
        <w:gridCol w:w="1640"/>
        <w:gridCol w:w="3770"/>
      </w:tblGrid>
      <w:tr>
        <w:trPr/>
        <w:tc>
          <w:tcPr>
            <w:tcW w:w="3635"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Title of each class</w:t>
            </w:r>
          </w:p>
        </w:tc>
        <w:tc>
          <w:tcPr>
            <w:tcW w:w="164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Trading Symbol(s)</w:t>
            </w:r>
          </w:p>
        </w:tc>
        <w:tc>
          <w:tcPr>
            <w:tcW w:w="377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Name of each exchange on which registered</w:t>
            </w:r>
          </w:p>
        </w:tc>
      </w:tr>
      <w:tr>
        <w:trPr/>
        <w:tc>
          <w:tcPr>
            <w:tcW w:w="363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Common Stock, $0.001 par value per share  </w:t>
            </w:r>
          </w:p>
        </w:tc>
        <w:tc>
          <w:tcPr>
            <w:tcW w:w="164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PED</w:t>
            </w:r>
          </w:p>
        </w:tc>
        <w:tc>
          <w:tcPr>
            <w:tcW w:w="377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NYSE American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Emerging growth company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(e) Stockholder Approval of the Third Amendment to the PEDEVCO Corp. 2021 Equity Incentive Plan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the 2026 Annual Meeting of Stockholders of PEDEVCO Corp. (the “Company”, “we” and “us”) held on August 27, 2026 (the “Annual Meeting”), the stockholders of the Company approved the Third Amendment (the “Amendment”) to the Company’s 2021 Equity Incentive Plan (as amended to date, the “2021 Plan”), which increased (a) the aggregate number of shares of common stock available for issuance under the 2021 Plan, (b) the maximum number of shares of common stock which may be issued upon exercise of incentive stock options granted under the 2021 Plan; and (c) the maximum number of awards which may be made to any recipient, each from 900,000 shares to 1,800,000 shares. The Company’s stockholders approved the Amendment in accordance with the voting results set forth below under Item 5.07. The Amendment was originally approved by the Board of Directors of the Company on July 9, 2026, upon the recommendation of the Compensation Committee of the Board of Directors, subject to stockholder approval, and the Amendment became effective on August 27, 2026, upon receipt of stockholder approval.</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material terms of the Amendment, and of the 2021 Plan as amended by the Amendment, were described in the Company’s Definitive Proxy Statement on Schedule 14A (the “Proxy Statement”) under the caption “Proposal 5 – Amendment to PEDEVCO 2021 Equity Incentive Plan” filed with the SEC on July 15, 2026. The 2021 Plan provides for awards of incentive stock options, non-statutory stock options, rights to acquire restricted stock, restricted stock units, stock appreciation rights, or SARs, and performance units and performance shares. Incentive stock options granted under the 2021 Plan are intended to qualify as “incentive stock options” within the meaning of Section 422 of the Internal Revenue Code of 1986, as amended (the “Code”).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above description of the Amendment does not purport to be complete, and is qualified in its entirety by reference to the full text of the 2021 Plan as amended by the Amendment, which is attached hereto as Exhibits 10.1 through 10.4, and incorporated by reference into this Item 5.02.</w:t>
      </w:r>
    </w:p>
    <w:p>
      <w:pPr>
        <w:pStyle w:val="TextBody"/>
        <w:bidi w:val="0"/>
        <w:spacing w:before="0" w:after="0"/>
        <w:ind w:left="0" w:right="0" w:hanging="0"/>
        <w:jc w:val="both"/>
        <w:rPr/>
      </w:pPr>
      <w:r>
        <w:rPr/>
        <w:t> </w:t>
      </w:r>
    </w:p>
    <w:p>
      <w:pPr>
        <w:pStyle w:val="TextBody"/>
        <w:bidi w:val="0"/>
        <w:spacing w:before="0" w:after="0"/>
        <w:ind w:left="0" w:right="0" w:hanging="0"/>
        <w:jc w:val="left"/>
        <w:rPr/>
      </w:pPr>
      <w:r>
        <w:rPr>
          <w:rStyle w:val="StrongEmphasis"/>
          <w:rFonts w:ascii="times new roman" w:hAnsi="times new roman"/>
          <w:sz w:val="20"/>
        </w:rPr>
        <w:t>Item 5.07 Submission of Matters to a Vote of Security Holders.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the Annual Meeting, the stockholders of the Company (i) approved the election of six director nominees, (ii) ratified the appointment of Weaver and Tidwell, L.L.P. as the Company’s independent auditors for the fiscal year ending December 31, 2026, (iii) approved, on a non-binding advisory basis, the compensation of the Company’s named executive officers, (iv) selected, on a non-binding advisory basis, a frequency of every one year for future advisory votes on the compensation of the Company’s named executive officers, and (v) approved the Third Amendment to the Company’s 2021 Equity Incentive Plan.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 total of 12,270,991.5 shares of common stock were present in person or by proxy and represented at the Annual Meeting, which shares constituted a quorum (approximately 92.3% of our outstanding voting shares, constituting a majority thereof) based on 13,290,902 shares of common stock outstanding and entitled to vote at the Annual Meeting as of the June 30, 2026 record date for the Annual Meeting. At the Annual Meeting, the Company’s stockholders voted on the following proposals described in greater detail in the Proxy Statement and summarized below. This Form 8-K should be read in connection with the Proxy Statement. There was no solicitation in opposition to management’s nominees as listed in its proxy statement and all such nominees were elected as directors.</w:t>
      </w:r>
    </w:p>
    <w:p>
      <w:pPr>
        <w:pStyle w:val="TextBody"/>
        <w:bidi w:val="0"/>
        <w:spacing w:before="0" w:after="0"/>
        <w:ind w:left="0" w:right="0" w:firstLine="72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sz w:val="20"/>
        </w:rPr>
      </w:pPr>
      <w:r>
        <w:rPr>
          <w:rFonts w:ascii="times new roman" w:hAnsi="times new roman"/>
          <w:sz w:val="20"/>
        </w:rPr>
        <w:t>The results of the voting for each of the proposals were as follows: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1. Election of Directors:</w:t>
      </w:r>
    </w:p>
    <w:p>
      <w:pPr>
        <w:pStyle w:val="TextBody"/>
        <w:bidi w:val="0"/>
        <w:spacing w:before="0" w:after="0"/>
        <w:ind w:left="0" w:right="0" w:hanging="0"/>
        <w:jc w:val="left"/>
        <w:rPr/>
      </w:pPr>
      <w:r>
        <w:rPr/>
        <w:t> </w:t>
      </w:r>
    </w:p>
    <w:tbl>
      <w:tblPr>
        <w:tblW w:w="6169" w:type="dxa"/>
        <w:jc w:val="left"/>
        <w:tblInd w:w="0" w:type="dxa"/>
        <w:tblLayout w:type="fixed"/>
        <w:tblCellMar>
          <w:top w:w="0" w:type="dxa"/>
          <w:left w:w="0" w:type="dxa"/>
          <w:bottom w:w="0" w:type="dxa"/>
          <w:right w:w="0" w:type="dxa"/>
        </w:tblCellMar>
      </w:tblPr>
      <w:tblGrid>
        <w:gridCol w:w="1505"/>
        <w:gridCol w:w="90"/>
        <w:gridCol w:w="90"/>
        <w:gridCol w:w="1310"/>
        <w:gridCol w:w="90"/>
        <w:gridCol w:w="90"/>
        <w:gridCol w:w="90"/>
        <w:gridCol w:w="1010"/>
        <w:gridCol w:w="90"/>
        <w:gridCol w:w="90"/>
        <w:gridCol w:w="176"/>
        <w:gridCol w:w="1403"/>
        <w:gridCol w:w="135"/>
      </w:tblGrid>
      <w:tr>
        <w:trPr/>
        <w:tc>
          <w:tcPr>
            <w:tcW w:w="15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For</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Withheld</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57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Broker Non-Votes</w:t>
            </w:r>
          </w:p>
        </w:tc>
        <w:tc>
          <w:tcPr>
            <w:tcW w:w="135" w:type="dxa"/>
            <w:tcBorders/>
            <w:vAlign w:val="center"/>
          </w:tcPr>
          <w:p>
            <w:pPr>
              <w:pStyle w:val="TableContents"/>
              <w:bidi w:val="0"/>
              <w:spacing w:before="0" w:after="0"/>
              <w:ind w:left="0" w:right="0" w:hanging="0"/>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Josh Schmidt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12,040,939.1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204,793.4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403" w:type="dxa"/>
            <w:tcBorders/>
            <w:shd w:fill="CCEEFF" w:val="clear"/>
            <w:vAlign w:val="center"/>
          </w:tcPr>
          <w:p>
            <w:pPr>
              <w:pStyle w:val="TableContents"/>
              <w:bidi w:val="0"/>
              <w:spacing w:before="0" w:after="283"/>
              <w:jc w:val="right"/>
              <w:rPr/>
            </w:pPr>
            <w:r>
              <w:rPr/>
              <w:t>25,259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5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 Douglas Schick</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283"/>
              <w:jc w:val="right"/>
              <w:rPr/>
            </w:pPr>
            <w:r>
              <w:rPr/>
              <w:t>12,059,277.1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186,455.4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403" w:type="dxa"/>
            <w:tcBorders/>
            <w:shd w:fill="FFFFFF" w:val="clear"/>
            <w:vAlign w:val="center"/>
          </w:tcPr>
          <w:p>
            <w:pPr>
              <w:pStyle w:val="TableContents"/>
              <w:bidi w:val="0"/>
              <w:spacing w:before="0" w:after="283"/>
              <w:jc w:val="right"/>
              <w:rPr/>
            </w:pPr>
            <w:r>
              <w:rPr/>
              <w:t>25,259</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John K. Howie</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11,955,104.1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290,628.4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403" w:type="dxa"/>
            <w:tcBorders/>
            <w:shd w:fill="CCEEFF" w:val="clear"/>
            <w:vAlign w:val="center"/>
          </w:tcPr>
          <w:p>
            <w:pPr>
              <w:pStyle w:val="TableContents"/>
              <w:bidi w:val="0"/>
              <w:spacing w:before="0" w:after="283"/>
              <w:jc w:val="right"/>
              <w:rPr/>
            </w:pPr>
            <w:r>
              <w:rPr/>
              <w:t>25,259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5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Martyn Willsher</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283"/>
              <w:jc w:val="right"/>
              <w:rPr/>
            </w:pPr>
            <w:r>
              <w:rPr/>
              <w:t>12,105,915.1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139,817.4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403" w:type="dxa"/>
            <w:tcBorders/>
            <w:shd w:fill="FFFFFF" w:val="clear"/>
            <w:vAlign w:val="center"/>
          </w:tcPr>
          <w:p>
            <w:pPr>
              <w:pStyle w:val="TableContents"/>
              <w:bidi w:val="0"/>
              <w:spacing w:before="0" w:after="283"/>
              <w:jc w:val="right"/>
              <w:rPr/>
            </w:pPr>
            <w:r>
              <w:rPr/>
              <w:t>25,259</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Edward Geiser</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12,041,547.1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204,185.4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403" w:type="dxa"/>
            <w:tcBorders/>
            <w:shd w:fill="CCEEFF" w:val="clear"/>
            <w:vAlign w:val="center"/>
          </w:tcPr>
          <w:p>
            <w:pPr>
              <w:pStyle w:val="TableContents"/>
              <w:bidi w:val="0"/>
              <w:spacing w:before="0" w:after="283"/>
              <w:jc w:val="right"/>
              <w:rPr/>
            </w:pPr>
            <w:r>
              <w:rPr/>
              <w:t>25,259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5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Kristel Franklin</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283"/>
              <w:jc w:val="right"/>
              <w:rPr/>
            </w:pPr>
            <w:r>
              <w:rPr/>
              <w:t>12,227,629.1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18,103.4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403" w:type="dxa"/>
            <w:tcBorders/>
            <w:shd w:fill="FFFFFF" w:val="clear"/>
            <w:vAlign w:val="center"/>
          </w:tcPr>
          <w:p>
            <w:pPr>
              <w:pStyle w:val="TableContents"/>
              <w:bidi w:val="0"/>
              <w:spacing w:before="0" w:after="283"/>
              <w:jc w:val="right"/>
              <w:rPr/>
            </w:pPr>
            <w:r>
              <w:rPr/>
              <w:t>25,259</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2. Ratification of the appointment of Weaver and Tidwell, L.L.P., as the Company’s independent auditors for the fiscal year ending December 31, 2026:</w:t>
      </w:r>
    </w:p>
    <w:p>
      <w:pPr>
        <w:pStyle w:val="TextBody"/>
        <w:bidi w:val="0"/>
        <w:spacing w:before="0" w:after="0"/>
        <w:ind w:left="0" w:right="0" w:hanging="0"/>
        <w:jc w:val="left"/>
        <w:rPr/>
      </w:pPr>
      <w:r>
        <w:rPr/>
        <w:t> </w:t>
      </w:r>
    </w:p>
    <w:tbl>
      <w:tblPr>
        <w:tblW w:w="3310" w:type="dxa"/>
        <w:jc w:val="left"/>
        <w:tblInd w:w="0" w:type="dxa"/>
        <w:tblLayout w:type="fixed"/>
        <w:tblCellMar>
          <w:top w:w="0" w:type="dxa"/>
          <w:left w:w="0" w:type="dxa"/>
          <w:bottom w:w="0" w:type="dxa"/>
          <w:right w:w="0" w:type="dxa"/>
        </w:tblCellMar>
      </w:tblPr>
      <w:tblGrid>
        <w:gridCol w:w="1685"/>
        <w:gridCol w:w="90"/>
        <w:gridCol w:w="90"/>
        <w:gridCol w:w="1310"/>
        <w:gridCol w:w="135"/>
      </w:tblGrid>
      <w:tr>
        <w:trPr/>
        <w:tc>
          <w:tcPr>
            <w:tcW w:w="16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12,253,840.5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68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Against: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17,116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68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Abstain: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35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68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Broker Non-Votes:  </w:t>
            </w:r>
          </w:p>
        </w:tc>
        <w:tc>
          <w:tcPr>
            <w:tcW w:w="90" w:type="dxa"/>
            <w:tcBorders/>
            <w:shd w:fill="CCEEFF" w:val="clear"/>
            <w:vAlign w:val="center"/>
          </w:tcPr>
          <w:p>
            <w:pPr>
              <w:pStyle w:val="TableContents"/>
              <w:bidi w:val="0"/>
              <w:spacing w:before="0" w:after="0"/>
              <w:ind w:left="0" w:right="0" w:hanging="0"/>
              <w:jc w:val="left"/>
              <w:rPr/>
            </w:pPr>
            <w:r>
              <w:rPr/>
              <w:t> </w:t>
            </w:r>
          </w:p>
        </w:tc>
        <w:tc>
          <w:tcPr>
            <w:tcW w:w="1400"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3. Approval, on a non-binding advisory basis, of the compensation of the Company’s named executive officers:</w:t>
      </w:r>
    </w:p>
    <w:p>
      <w:pPr>
        <w:pStyle w:val="TextBody"/>
        <w:bidi w:val="0"/>
        <w:spacing w:before="0" w:after="0"/>
        <w:ind w:left="0" w:right="0" w:hanging="0"/>
        <w:jc w:val="left"/>
        <w:rPr/>
      </w:pPr>
      <w:r>
        <w:rPr/>
        <w:t> </w:t>
      </w:r>
    </w:p>
    <w:tbl>
      <w:tblPr>
        <w:tblW w:w="3310" w:type="dxa"/>
        <w:jc w:val="left"/>
        <w:tblInd w:w="0" w:type="dxa"/>
        <w:tblLayout w:type="fixed"/>
        <w:tblCellMar>
          <w:top w:w="0" w:type="dxa"/>
          <w:left w:w="0" w:type="dxa"/>
          <w:bottom w:w="0" w:type="dxa"/>
          <w:right w:w="0" w:type="dxa"/>
        </w:tblCellMar>
      </w:tblPr>
      <w:tblGrid>
        <w:gridCol w:w="1685"/>
        <w:gridCol w:w="90"/>
        <w:gridCol w:w="90"/>
        <w:gridCol w:w="1310"/>
        <w:gridCol w:w="135"/>
      </w:tblGrid>
      <w:tr>
        <w:trPr/>
        <w:tc>
          <w:tcPr>
            <w:tcW w:w="16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12,041,407.1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68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Against: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197,150.4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68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Abstain: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7,175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68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Broker Non-Votes: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25,259</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4. Approval, on a non-binding advisory basis, of the frequency of holding future advisory votes on the compensation of the Company’s named executive officers:</w:t>
      </w:r>
    </w:p>
    <w:p>
      <w:pPr>
        <w:pStyle w:val="TextBody"/>
        <w:bidi w:val="0"/>
        <w:spacing w:before="0" w:after="0"/>
        <w:ind w:left="0" w:right="0" w:hanging="0"/>
        <w:jc w:val="left"/>
        <w:rPr/>
      </w:pPr>
      <w:r>
        <w:rPr/>
        <w:t> </w:t>
      </w:r>
    </w:p>
    <w:tbl>
      <w:tblPr>
        <w:tblW w:w="3220" w:type="dxa"/>
        <w:jc w:val="left"/>
        <w:tblInd w:w="0" w:type="dxa"/>
        <w:tblLayout w:type="fixed"/>
        <w:tblCellMar>
          <w:top w:w="0" w:type="dxa"/>
          <w:left w:w="0" w:type="dxa"/>
          <w:bottom w:w="0" w:type="dxa"/>
          <w:right w:w="0" w:type="dxa"/>
        </w:tblCellMar>
      </w:tblPr>
      <w:tblGrid>
        <w:gridCol w:w="1595"/>
        <w:gridCol w:w="90"/>
        <w:gridCol w:w="90"/>
        <w:gridCol w:w="1310"/>
        <w:gridCol w:w="135"/>
      </w:tblGrid>
      <w:tr>
        <w:trPr/>
        <w:tc>
          <w:tcPr>
            <w:tcW w:w="15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 Year:</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12,229,445.1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59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 Years:</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1,952.4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59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 Years:</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2,963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59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Abstain:</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11,372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59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Broker Non-Votes:</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25,259</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5. Approval of the Third Amendment to the PEDEVCO Corp. 2021 Equity Incentive Plan:</w:t>
      </w:r>
    </w:p>
    <w:p>
      <w:pPr>
        <w:pStyle w:val="TextBody"/>
        <w:bidi w:val="0"/>
        <w:spacing w:before="0" w:after="0"/>
        <w:ind w:left="0" w:right="0" w:hanging="0"/>
        <w:jc w:val="left"/>
        <w:rPr/>
      </w:pPr>
      <w:r>
        <w:rPr/>
        <w:t> </w:t>
      </w:r>
    </w:p>
    <w:tbl>
      <w:tblPr>
        <w:tblW w:w="3220" w:type="dxa"/>
        <w:jc w:val="left"/>
        <w:tblInd w:w="0" w:type="dxa"/>
        <w:tblLayout w:type="fixed"/>
        <w:tblCellMar>
          <w:top w:w="0" w:type="dxa"/>
          <w:left w:w="0" w:type="dxa"/>
          <w:bottom w:w="0" w:type="dxa"/>
          <w:right w:w="0" w:type="dxa"/>
        </w:tblCellMar>
      </w:tblPr>
      <w:tblGrid>
        <w:gridCol w:w="1595"/>
        <w:gridCol w:w="90"/>
        <w:gridCol w:w="90"/>
        <w:gridCol w:w="1310"/>
        <w:gridCol w:w="135"/>
      </w:tblGrid>
      <w:tr>
        <w:trPr/>
        <w:tc>
          <w:tcPr>
            <w:tcW w:w="15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12,007,528.1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59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Against: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223,854.4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59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Abstain:</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14,350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59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Broker Non-Votes:</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10" w:type="dxa"/>
            <w:tcBorders/>
            <w:shd w:fill="CCEEFF" w:val="clear"/>
            <w:vAlign w:val="center"/>
          </w:tcPr>
          <w:p>
            <w:pPr>
              <w:pStyle w:val="TableContents"/>
              <w:bidi w:val="0"/>
              <w:spacing w:before="0" w:after="283"/>
              <w:jc w:val="right"/>
              <w:rPr/>
            </w:pPr>
            <w:r>
              <w:rPr/>
              <w:t>25,259</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such, each of the six (6) director nominees was duly elected to the Board of Directors by a plurality of the votes cast (there was no solicitation in opposition to management’s nominees as listed in its proxy statement), each to serve a term of one year and until their respective successors have been elected and qualified, or until their earlier resignation or removal, and proposals 2, 3 and 5 were separately approved and ratified by the affirmative vote of a majority of the shares present in person or represented by proxy at the Annual Meeting and entitled to vote on, and who voted for, against, or expressly abstained with respect to, each such proposal, notwithstanding the fact that proposal 3 was non-binding and advisory in nature.  With respect to proposal 4, no minimum level of votes was required to be obtained on any voting option, and the option of every “1 Year” received the greatest number of affirmative votes cast, notwithstanding the fact that proposal 4 was non-binding and advisory in nature.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light of the voting results on proposal 4, and consistent with the recommendation of the Board of Directors, the Board of Directors determined that the Company will hold an advisory vote on the compensation of its named executive officers annually until the next required stockholder vote on the frequency of such advisory votes, or until the Board of Directors determines to hold another vote on the frequency of advisory votes on executive compensation. The Company is required to hold votes on the frequency of holding future non-binding advisory votes on executive compensation every six calendar years.</w:t>
      </w:r>
    </w:p>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Item 9.01 Financial Statements and Exhibits.</w:t>
      </w:r>
    </w:p>
    <w:p>
      <w:pPr>
        <w:pStyle w:val="TextBody"/>
        <w:bidi w:val="0"/>
        <w:spacing w:before="0" w:after="0"/>
        <w:ind w:left="0" w:right="0" w:hanging="0"/>
        <w:jc w:val="right"/>
        <w:rPr/>
      </w:pPr>
      <w:r>
        <w:rPr/>
        <w:t> </w:t>
      </w:r>
    </w:p>
    <w:p>
      <w:pPr>
        <w:pStyle w:val="TextBody"/>
        <w:bidi w:val="0"/>
        <w:spacing w:before="0" w:after="0"/>
        <w:ind w:left="0" w:right="0" w:hanging="0"/>
        <w:jc w:val="left"/>
        <w:rPr/>
      </w:pPr>
      <w:r>
        <w:rPr>
          <w:rStyle w:val="StrongEmphasis"/>
          <w:rFonts w:ascii="times new roman" w:hAnsi="times new roman"/>
          <w:sz w:val="20"/>
        </w:rPr>
        <w:t>(d) Exhibits.</w:t>
      </w:r>
    </w:p>
    <w:p>
      <w:pPr>
        <w:pStyle w:val="TextBody"/>
        <w:bidi w:val="0"/>
        <w:spacing w:before="0" w:after="0"/>
        <w:ind w:left="0" w:right="0" w:hanging="0"/>
        <w:jc w:val="both"/>
        <w:rPr/>
      </w:pPr>
      <w:r>
        <w:rPr/>
        <w:t> </w:t>
      </w:r>
    </w:p>
    <w:tbl>
      <w:tblPr>
        <w:tblW w:w="7015" w:type="dxa"/>
        <w:jc w:val="left"/>
        <w:tblInd w:w="0" w:type="dxa"/>
        <w:tblLayout w:type="fixed"/>
        <w:tblCellMar>
          <w:top w:w="0" w:type="dxa"/>
          <w:left w:w="0" w:type="dxa"/>
          <w:bottom w:w="28" w:type="dxa"/>
          <w:right w:w="0" w:type="dxa"/>
        </w:tblCellMar>
      </w:tblPr>
      <w:tblGrid>
        <w:gridCol w:w="1025"/>
        <w:gridCol w:w="90"/>
        <w:gridCol w:w="5900"/>
      </w:tblGrid>
      <w:tr>
        <w:trPr/>
        <w:tc>
          <w:tcPr>
            <w:tcW w:w="102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Exhibit No.</w:t>
            </w:r>
          </w:p>
        </w:tc>
        <w:tc>
          <w:tcPr>
            <w:tcW w:w="90" w:type="dxa"/>
            <w:tcBorders/>
            <w:tcMar>
              <w:bottom w:w="0" w:type="dxa"/>
            </w:tcMar>
            <w:vAlign w:val="center"/>
          </w:tcPr>
          <w:p>
            <w:pPr>
              <w:pStyle w:val="TableContents"/>
              <w:bidi w:val="0"/>
              <w:spacing w:before="0" w:after="0"/>
              <w:ind w:left="0" w:right="0" w:hanging="0"/>
              <w:jc w:val="left"/>
              <w:rPr/>
            </w:pPr>
            <w:r>
              <w:rPr/>
              <w:t> </w:t>
            </w:r>
          </w:p>
        </w:tc>
        <w:tc>
          <w:tcPr>
            <w:tcW w:w="5900"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Description</w:t>
            </w:r>
          </w:p>
        </w:tc>
      </w:tr>
      <w:tr>
        <w:trPr/>
        <w:tc>
          <w:tcPr>
            <w:tcW w:w="102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5900" w:type="dxa"/>
            <w:tcBorders/>
            <w:tcMar>
              <w:bottom w:w="0" w:type="dxa"/>
            </w:tcMar>
            <w:vAlign w:val="center"/>
          </w:tcPr>
          <w:p>
            <w:pPr>
              <w:pStyle w:val="TableContents"/>
              <w:bidi w:val="0"/>
              <w:spacing w:before="0" w:after="0"/>
              <w:ind w:left="0" w:right="0" w:hanging="0"/>
              <w:jc w:val="left"/>
              <w:rPr/>
            </w:pPr>
            <w:r>
              <w:rPr/>
              <w:t> </w:t>
            </w:r>
          </w:p>
        </w:tc>
      </w:tr>
      <w:tr>
        <w:trPr/>
        <w:tc>
          <w:tcPr>
            <w:tcW w:w="1025" w:type="dxa"/>
            <w:tcBorders/>
            <w:shd w:fill="CCEEFF" w:val="clear"/>
            <w:tcMar>
              <w:bottom w:w="0" w:type="dxa"/>
            </w:tcMar>
            <w:vAlign w:val="center"/>
          </w:tcPr>
          <w:p>
            <w:pPr>
              <w:pStyle w:val="TableContents"/>
              <w:bidi w:val="0"/>
              <w:spacing w:before="0" w:after="0"/>
              <w:ind w:left="0" w:right="0" w:hanging="0"/>
              <w:jc w:val="center"/>
              <w:rPr/>
            </w:pPr>
            <w:hyperlink r:id="rId2">
              <w:r>
                <w:rPr>
                  <w:rStyle w:val="InternetLink"/>
                  <w:rFonts w:ascii="times new roman" w:hAnsi="times new roman"/>
                  <w:sz w:val="20"/>
                </w:rPr>
                <w:t>10.1</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900" w:type="dxa"/>
            <w:tcBorders/>
            <w:shd w:fill="CCEEFF" w:val="clear"/>
            <w:tcMar>
              <w:bottom w:w="0" w:type="dxa"/>
            </w:tcMar>
            <w:vAlign w:val="center"/>
          </w:tcPr>
          <w:p>
            <w:pPr>
              <w:pStyle w:val="TableContents"/>
              <w:bidi w:val="0"/>
              <w:spacing w:before="0" w:after="0"/>
              <w:ind w:left="0" w:right="0" w:hanging="0"/>
              <w:jc w:val="left"/>
              <w:rPr/>
            </w:pPr>
            <w:hyperlink r:id="rId3">
              <w:r>
                <w:rPr>
                  <w:rStyle w:val="InternetLink"/>
                  <w:rFonts w:ascii="times new roman" w:hAnsi="times new roman"/>
                  <w:sz w:val="20"/>
                </w:rPr>
                <w:t>PEDEVCO Corp. 2021 Equity Incentive Plan(1)</w:t>
              </w:r>
            </w:hyperlink>
          </w:p>
        </w:tc>
      </w:tr>
      <w:tr>
        <w:trPr/>
        <w:tc>
          <w:tcPr>
            <w:tcW w:w="1025" w:type="dxa"/>
            <w:tcBorders/>
            <w:shd w:fill="FFFFFF" w:val="clear"/>
            <w:tcMar>
              <w:bottom w:w="0" w:type="dxa"/>
            </w:tcMar>
            <w:vAlign w:val="center"/>
          </w:tcPr>
          <w:p>
            <w:pPr>
              <w:pStyle w:val="TableContents"/>
              <w:bidi w:val="0"/>
              <w:spacing w:before="0" w:after="0"/>
              <w:ind w:left="0" w:right="0" w:hanging="0"/>
              <w:jc w:val="center"/>
              <w:rPr/>
            </w:pPr>
            <w:hyperlink r:id="rId4">
              <w:r>
                <w:rPr>
                  <w:rStyle w:val="InternetLink"/>
                  <w:rFonts w:ascii="times new roman" w:hAnsi="times new roman"/>
                  <w:sz w:val="20"/>
                </w:rPr>
                <w:t>10.2</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5900" w:type="dxa"/>
            <w:tcBorders/>
            <w:shd w:fill="FFFFFF" w:val="clear"/>
            <w:tcMar>
              <w:bottom w:w="0" w:type="dxa"/>
            </w:tcMar>
            <w:vAlign w:val="center"/>
          </w:tcPr>
          <w:p>
            <w:pPr>
              <w:pStyle w:val="TableContents"/>
              <w:bidi w:val="0"/>
              <w:spacing w:before="0" w:after="0"/>
              <w:ind w:left="0" w:right="0" w:hanging="0"/>
              <w:jc w:val="left"/>
              <w:rPr/>
            </w:pPr>
            <w:hyperlink r:id="rId5">
              <w:r>
                <w:rPr>
                  <w:rStyle w:val="InternetLink"/>
                  <w:rFonts w:ascii="times new roman" w:hAnsi="times new roman"/>
                  <w:sz w:val="20"/>
                </w:rPr>
                <w:t>First Amendment to PEDEVCO Corp. 2021 Equity Incentive Plan(2)</w:t>
              </w:r>
            </w:hyperlink>
          </w:p>
        </w:tc>
      </w:tr>
      <w:tr>
        <w:trPr/>
        <w:tc>
          <w:tcPr>
            <w:tcW w:w="1025" w:type="dxa"/>
            <w:tcBorders/>
            <w:shd w:fill="CCEEFF" w:val="clear"/>
            <w:tcMar>
              <w:bottom w:w="0" w:type="dxa"/>
            </w:tcMar>
            <w:vAlign w:val="center"/>
          </w:tcPr>
          <w:p>
            <w:pPr>
              <w:pStyle w:val="TableContents"/>
              <w:bidi w:val="0"/>
              <w:spacing w:before="0" w:after="0"/>
              <w:ind w:left="0" w:right="0" w:hanging="0"/>
              <w:jc w:val="center"/>
              <w:rPr/>
            </w:pPr>
            <w:hyperlink r:id="rId6">
              <w:r>
                <w:rPr>
                  <w:rStyle w:val="InternetLink"/>
                  <w:rFonts w:ascii="times new roman" w:hAnsi="times new roman"/>
                  <w:sz w:val="20"/>
                </w:rPr>
                <w:t>10.3</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900" w:type="dxa"/>
            <w:tcBorders/>
            <w:shd w:fill="CCEEFF" w:val="clear"/>
            <w:tcMar>
              <w:bottom w:w="0" w:type="dxa"/>
            </w:tcMar>
            <w:vAlign w:val="center"/>
          </w:tcPr>
          <w:p>
            <w:pPr>
              <w:pStyle w:val="TableContents"/>
              <w:bidi w:val="0"/>
              <w:spacing w:before="0" w:after="0"/>
              <w:ind w:left="0" w:right="0" w:hanging="0"/>
              <w:jc w:val="left"/>
              <w:rPr/>
            </w:pPr>
            <w:hyperlink r:id="rId7">
              <w:r>
                <w:rPr>
                  <w:rStyle w:val="InternetLink"/>
                  <w:rFonts w:ascii="times new roman" w:hAnsi="times new roman"/>
                  <w:sz w:val="20"/>
                </w:rPr>
                <w:t>Second Amendment to PEDEVCO Corp. 2021 Equity Incentive Plan(3)</w:t>
              </w:r>
            </w:hyperlink>
          </w:p>
        </w:tc>
      </w:tr>
      <w:tr>
        <w:trPr/>
        <w:tc>
          <w:tcPr>
            <w:tcW w:w="1025" w:type="dxa"/>
            <w:tcBorders/>
            <w:shd w:fill="FFFFFF" w:val="clear"/>
            <w:tcMar>
              <w:bottom w:w="0" w:type="dxa"/>
            </w:tcMar>
            <w:vAlign w:val="center"/>
          </w:tcPr>
          <w:p>
            <w:pPr>
              <w:pStyle w:val="TableContents"/>
              <w:bidi w:val="0"/>
              <w:spacing w:before="0" w:after="0"/>
              <w:ind w:left="0" w:right="0" w:hanging="0"/>
              <w:jc w:val="center"/>
              <w:rPr/>
            </w:pPr>
            <w:hyperlink w:anchor="ped_ex104.htm">
              <w:r>
                <w:rPr>
                  <w:rStyle w:val="InternetLink"/>
                  <w:rFonts w:ascii="times new roman" w:hAnsi="times new roman"/>
                  <w:sz w:val="20"/>
                </w:rPr>
                <w:t>10.4</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5900" w:type="dxa"/>
            <w:tcBorders/>
            <w:shd w:fill="FFFFFF" w:val="clear"/>
            <w:tcMar>
              <w:bottom w:w="0" w:type="dxa"/>
            </w:tcMar>
            <w:vAlign w:val="center"/>
          </w:tcPr>
          <w:p>
            <w:pPr>
              <w:pStyle w:val="TableContents"/>
              <w:bidi w:val="0"/>
              <w:spacing w:before="0" w:after="0"/>
              <w:ind w:left="0" w:right="0" w:hanging="0"/>
              <w:jc w:val="left"/>
              <w:rPr/>
            </w:pPr>
            <w:hyperlink w:anchor="ped_ex104.htm">
              <w:r>
                <w:rPr>
                  <w:rStyle w:val="InternetLink"/>
                  <w:rFonts w:ascii="times new roman" w:hAnsi="times new roman"/>
                  <w:sz w:val="20"/>
                </w:rPr>
                <w:t>Third Amendment to the PEDEVCO Corp. 2021 Equity Incentive Plan*</w:t>
              </w:r>
            </w:hyperlink>
          </w:p>
        </w:tc>
      </w:tr>
      <w:tr>
        <w:trPr/>
        <w:tc>
          <w:tcPr>
            <w:tcW w:w="10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9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for the cover page of this Current Report on Form 8-K</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52"/>
        <w:gridCol w:w="9848"/>
      </w:tblGrid>
      <w:tr>
        <w:trPr/>
        <w:tc>
          <w:tcPr>
            <w:tcW w:w="105"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84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Filed as Exhibit 10.1 to the Current Report on Form 8-K filed by the Company with the Securities and Exchange Commission on September 1, 2021, and incorporated by reference herein.</w:t>
            </w:r>
          </w:p>
        </w:tc>
      </w:tr>
      <w:tr>
        <w:trPr/>
        <w:tc>
          <w:tcPr>
            <w:tcW w:w="105"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84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Filed as Exhibit 10.1 to the Current Report on Form 8-K filed by the Company with the Securities and Exchange Commission on August 30, 2024, and incorporated by reference herein.</w:t>
            </w:r>
          </w:p>
        </w:tc>
      </w:tr>
      <w:tr>
        <w:trPr/>
        <w:tc>
          <w:tcPr>
            <w:tcW w:w="105"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84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Filed as Exhibit 10.7 to the Current Report on Form 8-K filed by the Company with the Securities and Exchange Commission on November 3, 2025, and incorporated by reference herein.</w:t>
            </w:r>
          </w:p>
        </w:tc>
      </w:tr>
    </w:tbl>
    <w:p>
      <w:pPr>
        <w:pStyle w:val="TextBody"/>
        <w:bidi w:val="0"/>
        <w:spacing w:before="0" w:after="0"/>
        <w:ind w:left="0" w:right="0" w:hanging="0"/>
        <w:jc w:val="left"/>
        <w:rPr/>
      </w:pPr>
      <w:r>
        <w:rPr/>
        <w:t xml:space="preserve">  </w:t>
      </w:r>
    </w:p>
    <w:p>
      <w:pPr>
        <w:pStyle w:val="TextBody"/>
        <w:bidi w:val="0"/>
        <w:spacing w:before="0" w:after="0"/>
        <w:ind w:left="360" w:right="0" w:hanging="0"/>
        <w:jc w:val="both"/>
        <w:rPr>
          <w:rFonts w:ascii="times new roman" w:hAnsi="times new roman"/>
          <w:sz w:val="20"/>
        </w:rPr>
      </w:pPr>
      <w:r>
        <w:rPr>
          <w:rFonts w:ascii="times new roman" w:hAnsi="times new roman"/>
          <w:sz w:val="20"/>
        </w:rPr>
        <w:t>* Filed herewith.</w:t>
      </w:r>
    </w:p>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SIGNATURES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pPr>
      <w:r>
        <w:rPr/>
        <w:t> </w:t>
      </w:r>
    </w:p>
    <w:tbl>
      <w:tblPr>
        <w:tblW w:w="3700" w:type="dxa"/>
        <w:jc w:val="left"/>
        <w:tblInd w:w="0" w:type="dxa"/>
        <w:tblLayout w:type="fixed"/>
        <w:tblCellMar>
          <w:top w:w="0" w:type="dxa"/>
          <w:left w:w="0" w:type="dxa"/>
          <w:bottom w:w="0" w:type="dxa"/>
          <w:right w:w="0" w:type="dxa"/>
        </w:tblCellMar>
      </w:tblPr>
      <w:tblGrid>
        <w:gridCol w:w="105"/>
        <w:gridCol w:w="350"/>
        <w:gridCol w:w="3110"/>
        <w:gridCol w:w="135"/>
      </w:tblGrid>
      <w:tr>
        <w:trPr/>
        <w:tc>
          <w:tcPr>
            <w:tcW w:w="105" w:type="dxa"/>
            <w:tcBorders/>
            <w:vAlign w:val="center"/>
          </w:tcPr>
          <w:p>
            <w:pPr>
              <w:pStyle w:val="TableContents"/>
              <w:bidi w:val="0"/>
              <w:spacing w:before="0" w:after="0"/>
              <w:ind w:left="0" w:right="0" w:hanging="0"/>
              <w:jc w:val="left"/>
              <w:rPr/>
            </w:pPr>
            <w:r>
              <w:rPr/>
              <w:t> </w:t>
            </w:r>
          </w:p>
        </w:tc>
        <w:tc>
          <w:tcPr>
            <w:tcW w:w="3460" w:type="dxa"/>
            <w:gridSpan w:val="2"/>
            <w:tcBorders/>
            <w:vAlign w:val="center"/>
          </w:tcPr>
          <w:p>
            <w:pPr>
              <w:pStyle w:val="TableContents"/>
              <w:bidi w:val="0"/>
              <w:spacing w:before="0" w:after="0"/>
              <w:ind w:left="0" w:right="0" w:hanging="0"/>
              <w:jc w:val="both"/>
              <w:rPr/>
            </w:pPr>
            <w:r>
              <w:rPr>
                <w:rStyle w:val="StrongEmphasis"/>
                <w:rFonts w:ascii="times new roman" w:hAnsi="times new roman"/>
                <w:sz w:val="20"/>
              </w:rPr>
              <w:t>PEDEVCO CORP.</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By:</w:t>
            </w:r>
          </w:p>
        </w:tc>
        <w:tc>
          <w:tcPr>
            <w:tcW w:w="3110" w:type="dxa"/>
            <w:tcBorders>
              <w:bottom w:val="single" w:sz="2" w:space="0" w:color="000000"/>
            </w:tcBorders>
            <w:tcMar>
              <w:bottom w:w="28" w:type="dxa"/>
            </w:tcMar>
            <w:vAlign w:val="center"/>
          </w:tcPr>
          <w:p>
            <w:pPr>
              <w:pStyle w:val="TableContents"/>
              <w:bidi w:val="0"/>
              <w:spacing w:before="0" w:after="0"/>
              <w:ind w:left="0" w:right="0" w:hanging="0"/>
              <w:jc w:val="both"/>
              <w:rPr/>
            </w:pPr>
            <w:r>
              <w:rPr>
                <w:rStyle w:val="Emphasis"/>
                <w:rFonts w:ascii="times new roman" w:hAnsi="times new roman"/>
                <w:sz w:val="20"/>
              </w:rPr>
              <w:t>/s/ J. Douglas Schick</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both"/>
              <w:rPr/>
            </w:pPr>
            <w:r>
              <w:rPr>
                <w:rStyle w:val="Emphasis"/>
                <w:rFonts w:ascii="times new roman" w:hAnsi="times new roman"/>
                <w:sz w:val="20"/>
              </w:rPr>
              <w:t>J. Douglas Schick</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President and Chief Executive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August 28, 2026</w:t>
      </w:r>
    </w:p>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0" w:name="ped_ex104.htm"/>
      <w:bookmarkStart w:id="1" w:name="ksped_ex104"/>
      <w:bookmarkEnd w:id="0"/>
      <w:bookmarkEnd w:id="1"/>
      <w:r>
        <w:rPr>
          <w:rStyle w:val="StrongEmphasis"/>
          <w:rFonts w:ascii="times new roman" w:hAnsi="times new roman"/>
          <w:sz w:val="20"/>
        </w:rPr>
        <w:t>EXHIBIT 10.4</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THIRD AMENDMENT TO</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2021 EQUITY INCENTIVE PLAN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This Third Amendment (“Third Amendment”) to the PEDEVCO Corp. 2021 Equity Incentive Plan (the “2021 Plan”), is made and adopted by the Board of Directors of PEDEVCO Corp., a Texas corporation (the “Company”), on July 9, 2026 effective as of the date approved by stockholders of the Company at a duly called meeting of stockholders (the “Amendment Date”). Capitalized terms used in this Third Amendment and not otherwise defined herein shall have the meanings ascribed to such terms in the 2021 Plan (as amended).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RECITALS</w:t>
      </w:r>
    </w:p>
    <w:p>
      <w:pPr>
        <w:pStyle w:val="TextBody"/>
        <w:bidi w:val="0"/>
        <w:spacing w:before="0" w:after="0"/>
        <w:ind w:left="0" w:right="0" w:hanging="0"/>
        <w:jc w:val="left"/>
        <w:rPr/>
      </w:pPr>
      <w:r>
        <w:rPr/>
        <w:t> </w:t>
      </w:r>
    </w:p>
    <w:p>
      <w:pPr>
        <w:pStyle w:val="TextBody"/>
        <w:bidi w:val="0"/>
        <w:spacing w:before="0" w:after="0"/>
        <w:ind w:left="1080" w:right="0" w:hanging="0"/>
        <w:jc w:val="both"/>
        <w:rPr>
          <w:rFonts w:ascii="times new roman" w:hAnsi="times new roman"/>
          <w:sz w:val="20"/>
        </w:rPr>
      </w:pPr>
      <w:r>
        <w:rPr>
          <w:rFonts w:ascii="times new roman" w:hAnsi="times new roman"/>
          <w:sz w:val="20"/>
        </w:rPr>
        <w:t>A. The Company currently maintains the 2021 Plan.</w:t>
      </w:r>
    </w:p>
    <w:p>
      <w:pPr>
        <w:pStyle w:val="TextBody"/>
        <w:bidi w:val="0"/>
        <w:spacing w:before="0" w:after="0"/>
        <w:ind w:left="0" w:right="0" w:hanging="0"/>
        <w:jc w:val="left"/>
        <w:rPr/>
      </w:pPr>
      <w:r>
        <w:rPr/>
        <w:t> </w:t>
      </w:r>
    </w:p>
    <w:p>
      <w:pPr>
        <w:pStyle w:val="TextBody"/>
        <w:bidi w:val="0"/>
        <w:spacing w:before="0" w:after="0"/>
        <w:ind w:left="1080" w:right="0" w:hanging="0"/>
        <w:jc w:val="both"/>
        <w:rPr>
          <w:rFonts w:ascii="times new roman" w:hAnsi="times new roman"/>
          <w:sz w:val="20"/>
        </w:rPr>
      </w:pPr>
      <w:r>
        <w:rPr>
          <w:rFonts w:ascii="times new roman" w:hAnsi="times new roman"/>
          <w:sz w:val="20"/>
        </w:rPr>
        <w:t>B. The Board of Directors believes it is in the best interests of the Company and its stockholders to amend the 2021 Plan to increase the number of shares of common stock subject to the 2021 Plan and to incorporate the other terms and conditions set forth herein.</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AMENDMENT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2021 Plan is hereby amended as follows, effective as of the Amendment Date.</w:t>
      </w:r>
    </w:p>
    <w:p>
      <w:pPr>
        <w:pStyle w:val="TextBody"/>
        <w:bidi w:val="0"/>
        <w:spacing w:before="0" w:after="0"/>
        <w:ind w:left="0" w:right="0" w:hanging="0"/>
        <w:jc w:val="left"/>
        <w:rPr/>
      </w:pPr>
      <w:r>
        <w:rPr/>
        <w:t> </w:t>
      </w:r>
    </w:p>
    <w:p>
      <w:pPr>
        <w:pStyle w:val="TextBody"/>
        <w:bidi w:val="0"/>
        <w:spacing w:before="0" w:after="0"/>
        <w:ind w:left="1080" w:right="0" w:hanging="0"/>
        <w:jc w:val="both"/>
        <w:rPr>
          <w:rFonts w:ascii="times new roman" w:hAnsi="times new roman"/>
          <w:sz w:val="20"/>
        </w:rPr>
      </w:pPr>
      <w:r>
        <w:rPr>
          <w:rFonts w:ascii="times new roman" w:hAnsi="times new roman"/>
          <w:sz w:val="20"/>
        </w:rPr>
        <w:t xml:space="preserve">1. </w:t>
      </w:r>
      <w:r>
        <w:rPr>
          <w:rFonts w:ascii="times new roman" w:hAnsi="times new roman"/>
          <w:sz w:val="20"/>
          <w:u w:val="single"/>
        </w:rPr>
        <w:t>Section 3(a).</w:t>
      </w:r>
      <w:r>
        <w:rPr>
          <w:rFonts w:ascii="times new roman" w:hAnsi="times new roman"/>
          <w:sz w:val="20"/>
        </w:rPr>
        <w:t xml:space="preserve"> Section 3(a) of the 2021 Plan is hereby deleted and replaced in its entirety with the following:</w:t>
      </w:r>
    </w:p>
    <w:p>
      <w:pPr>
        <w:pStyle w:val="TextBody"/>
        <w:bidi w:val="0"/>
        <w:spacing w:before="0" w:after="0"/>
        <w:ind w:left="0" w:right="0" w:hanging="0"/>
        <w:jc w:val="left"/>
        <w:rPr/>
      </w:pPr>
      <w:r>
        <w:rPr/>
        <w:t> </w:t>
      </w:r>
    </w:p>
    <w:p>
      <w:pPr>
        <w:pStyle w:val="TextBody"/>
        <w:bidi w:val="0"/>
        <w:spacing w:before="0" w:after="0"/>
        <w:ind w:left="1800" w:right="0" w:hanging="0"/>
        <w:jc w:val="both"/>
        <w:rPr/>
      </w:pPr>
      <w:r>
        <w:rPr/>
        <w:t>“</w:t>
      </w:r>
      <w:r>
        <w:rPr>
          <w:rFonts w:ascii="times new roman" w:hAnsi="times new roman"/>
          <w:sz w:val="20"/>
        </w:rPr>
        <w:t>(a) Stock Subject to the Plan. Subject to adjustment in accordance with Section 3(b) and any adjustments pursuant to Section 13 of this Plan, the aggregate number of Shares that may be issued pursuant to Awards will not exceed 1,800,000 shares.”</w:t>
      </w:r>
    </w:p>
    <w:p>
      <w:pPr>
        <w:pStyle w:val="TextBody"/>
        <w:bidi w:val="0"/>
        <w:spacing w:before="0" w:after="0"/>
        <w:ind w:left="0" w:right="0" w:hanging="0"/>
        <w:jc w:val="left"/>
        <w:rPr/>
      </w:pPr>
      <w:r>
        <w:rPr/>
        <w:t> </w:t>
      </w:r>
    </w:p>
    <w:p>
      <w:pPr>
        <w:pStyle w:val="TextBody"/>
        <w:bidi w:val="0"/>
        <w:spacing w:before="0" w:after="0"/>
        <w:ind w:left="1080" w:right="0" w:hanging="0"/>
        <w:jc w:val="both"/>
        <w:rPr>
          <w:rFonts w:ascii="times new roman" w:hAnsi="times new roman"/>
          <w:sz w:val="20"/>
        </w:rPr>
      </w:pPr>
      <w:r>
        <w:rPr>
          <w:rFonts w:ascii="times new roman" w:hAnsi="times new roman"/>
          <w:sz w:val="20"/>
        </w:rPr>
        <w:t xml:space="preserve">2. </w:t>
      </w:r>
      <w:r>
        <w:rPr>
          <w:rFonts w:ascii="times new roman" w:hAnsi="times new roman"/>
          <w:sz w:val="20"/>
          <w:u w:val="single"/>
        </w:rPr>
        <w:t>Section 15(a)(i).</w:t>
      </w:r>
      <w:r>
        <w:rPr>
          <w:rFonts w:ascii="times new roman" w:hAnsi="times new roman"/>
          <w:sz w:val="20"/>
        </w:rPr>
        <w:t xml:space="preserve"> Section 15(a)(i) of the 2021 Plan is hereby deleted and replaced in its entirety with the following:</w:t>
      </w:r>
    </w:p>
    <w:p>
      <w:pPr>
        <w:pStyle w:val="TextBody"/>
        <w:bidi w:val="0"/>
        <w:spacing w:before="0" w:after="0"/>
        <w:ind w:left="0" w:right="0" w:hanging="0"/>
        <w:jc w:val="left"/>
        <w:rPr/>
      </w:pPr>
      <w:r>
        <w:rPr/>
        <w:t> </w:t>
      </w:r>
    </w:p>
    <w:p>
      <w:pPr>
        <w:pStyle w:val="TextBody"/>
        <w:bidi w:val="0"/>
        <w:spacing w:before="0" w:after="0"/>
        <w:ind w:left="1800" w:right="0" w:hanging="0"/>
        <w:jc w:val="both"/>
        <w:rPr/>
      </w:pPr>
      <w:r>
        <w:rPr/>
        <w:t>“</w:t>
      </w:r>
      <w:r>
        <w:rPr>
          <w:rFonts w:ascii="times new roman" w:hAnsi="times new roman"/>
          <w:sz w:val="20"/>
        </w:rPr>
        <w:t>(i) Maximum Amount. Subject to the provisions of Section 13, to the extent consistent with Section 422 of the Code, not more than an aggregate of 1,800,000 Shares may be issued as ISOs under the Plan.”</w:t>
      </w:r>
    </w:p>
    <w:p>
      <w:pPr>
        <w:pStyle w:val="TextBody"/>
        <w:bidi w:val="0"/>
        <w:spacing w:before="0" w:after="0"/>
        <w:ind w:left="1800" w:right="0" w:hanging="0"/>
        <w:jc w:val="both"/>
        <w:rPr/>
      </w:pPr>
      <w:r>
        <w:rPr/>
        <w:t> </w:t>
      </w:r>
    </w:p>
    <w:p>
      <w:pPr>
        <w:pStyle w:val="TextBody"/>
        <w:bidi w:val="0"/>
        <w:spacing w:before="0" w:after="0"/>
        <w:ind w:left="1080" w:right="0" w:hanging="0"/>
        <w:jc w:val="both"/>
        <w:rPr>
          <w:rFonts w:ascii="times new roman" w:hAnsi="times new roman"/>
          <w:sz w:val="20"/>
        </w:rPr>
      </w:pPr>
      <w:r>
        <w:rPr>
          <w:rFonts w:ascii="times new roman" w:hAnsi="times new roman"/>
          <w:sz w:val="20"/>
        </w:rPr>
        <w:t xml:space="preserve">3. </w:t>
      </w:r>
      <w:r>
        <w:rPr>
          <w:rFonts w:ascii="times new roman" w:hAnsi="times new roman"/>
          <w:sz w:val="20"/>
          <w:u w:val="single"/>
        </w:rPr>
        <w:t>Section 15(b)(ii).</w:t>
      </w:r>
      <w:r>
        <w:rPr>
          <w:rFonts w:ascii="times new roman" w:hAnsi="times new roman"/>
          <w:sz w:val="20"/>
        </w:rPr>
        <w:t xml:space="preserve"> Section 15(b)(ii) of the 2021 Plan is hereby deleted and replaced in its entirety with the following:</w:t>
      </w:r>
    </w:p>
    <w:p>
      <w:pPr>
        <w:pStyle w:val="TextBody"/>
        <w:bidi w:val="0"/>
        <w:spacing w:before="0" w:after="0"/>
        <w:ind w:left="0" w:right="0" w:hanging="0"/>
        <w:jc w:val="left"/>
        <w:rPr/>
      </w:pPr>
      <w:r>
        <w:rPr/>
        <w:t> </w:t>
      </w:r>
    </w:p>
    <w:p>
      <w:pPr>
        <w:pStyle w:val="TextBody"/>
        <w:bidi w:val="0"/>
        <w:spacing w:before="0" w:after="0"/>
        <w:ind w:left="1800" w:right="0" w:hanging="0"/>
        <w:jc w:val="both"/>
        <w:rPr/>
      </w:pPr>
      <w:r>
        <w:rPr/>
        <w:t>“</w:t>
      </w:r>
      <w:r>
        <w:rPr>
          <w:rFonts w:ascii="times new roman" w:hAnsi="times new roman"/>
          <w:sz w:val="20"/>
        </w:rPr>
        <w:t>(ii) Maximum Amount.</w:t>
      </w:r>
    </w:p>
    <w:p>
      <w:pPr>
        <w:pStyle w:val="TextBody"/>
        <w:bidi w:val="0"/>
        <w:spacing w:before="0" w:after="0"/>
        <w:ind w:left="0" w:right="0" w:hanging="0"/>
        <w:jc w:val="left"/>
        <w:rPr/>
      </w:pPr>
      <w:r>
        <w:rPr/>
        <w:t> </w:t>
      </w:r>
    </w:p>
    <w:p>
      <w:pPr>
        <w:pStyle w:val="TextBody"/>
        <w:bidi w:val="0"/>
        <w:spacing w:before="0" w:after="0"/>
        <w:ind w:left="1800" w:right="0" w:hanging="0"/>
        <w:jc w:val="both"/>
        <w:rPr>
          <w:rFonts w:ascii="times new roman" w:hAnsi="times new roman"/>
          <w:sz w:val="20"/>
        </w:rPr>
      </w:pPr>
      <w:r>
        <w:rPr>
          <w:rFonts w:ascii="times new roman" w:hAnsi="times new roman"/>
          <w:sz w:val="20"/>
        </w:rPr>
        <w:t>(1) Subject to the provisions of Section 13, the maximum number of Shares that can be awarded to any individual Participant in the aggregate in any one fiscal year of the Company is 1,800,000 Shares;</w:t>
      </w:r>
    </w:p>
    <w:p>
      <w:pPr>
        <w:pStyle w:val="TextBody"/>
        <w:bidi w:val="0"/>
        <w:spacing w:before="0" w:after="0"/>
        <w:ind w:left="0" w:right="0" w:hanging="0"/>
        <w:jc w:val="left"/>
        <w:rPr/>
      </w:pPr>
      <w:r>
        <w:rPr/>
        <w:t> </w:t>
      </w:r>
    </w:p>
    <w:p>
      <w:pPr>
        <w:pStyle w:val="TextBody"/>
        <w:bidi w:val="0"/>
        <w:spacing w:before="0" w:after="0"/>
        <w:ind w:left="1800" w:right="0" w:hanging="0"/>
        <w:jc w:val="both"/>
        <w:rPr>
          <w:rFonts w:ascii="times new roman" w:hAnsi="times new roman"/>
          <w:sz w:val="20"/>
        </w:rPr>
      </w:pPr>
      <w:r>
        <w:rPr>
          <w:rFonts w:ascii="times new roman" w:hAnsi="times new roman"/>
          <w:sz w:val="20"/>
        </w:rPr>
        <w:t>(2) For Awards denominated in Shares and satisfied in cash, the maximum Award to any individual Participant in the aggregate in any one fiscal year of the Company is the Fair Market Value of 1,800,000 Shares on the Grant Date; and</w:t>
      </w:r>
    </w:p>
    <w:p>
      <w:pPr>
        <w:pStyle w:val="TextBody"/>
        <w:bidi w:val="0"/>
        <w:spacing w:before="0" w:after="0"/>
        <w:ind w:left="0" w:right="0" w:hanging="0"/>
        <w:jc w:val="left"/>
        <w:rPr/>
      </w:pPr>
      <w:r>
        <w:rPr/>
        <w:t> </w:t>
      </w:r>
    </w:p>
    <w:p>
      <w:pPr>
        <w:pStyle w:val="TextBody"/>
        <w:bidi w:val="0"/>
        <w:spacing w:before="0" w:after="0"/>
        <w:ind w:left="1800" w:right="0" w:hanging="0"/>
        <w:jc w:val="both"/>
        <w:rPr>
          <w:rFonts w:ascii="times new roman" w:hAnsi="times new roman"/>
          <w:sz w:val="20"/>
        </w:rPr>
      </w:pPr>
      <w:r>
        <w:rPr>
          <w:rFonts w:ascii="times new roman" w:hAnsi="times new roman"/>
          <w:sz w:val="20"/>
        </w:rPr>
        <w:t>(3) The maximum amount payable pursuant to any cash Awards to any individual Participant in the aggregate in any one fiscal year of the Company is the Fair Market Value of 1,800,000 Shares on the Grant Date.”</w:t>
      </w:r>
    </w:p>
    <w:p>
      <w:pPr>
        <w:pStyle w:val="TextBody"/>
        <w:bidi w:val="0"/>
        <w:spacing w:before="0" w:after="0"/>
        <w:ind w:left="0" w:right="0" w:hanging="0"/>
        <w:jc w:val="left"/>
        <w:rPr/>
      </w:pPr>
      <w:r>
        <w:rPr/>
        <w:t> </w:t>
      </w:r>
    </w:p>
    <w:p>
      <w:pPr>
        <w:pStyle w:val="TextBody"/>
        <w:bidi w:val="0"/>
        <w:spacing w:before="0" w:after="0"/>
        <w:ind w:left="1080" w:right="0" w:hanging="0"/>
        <w:jc w:val="both"/>
        <w:rPr>
          <w:rFonts w:ascii="times new roman" w:hAnsi="times new roman"/>
          <w:sz w:val="20"/>
        </w:rPr>
      </w:pPr>
      <w:r>
        <w:rPr>
          <w:rFonts w:ascii="times new roman" w:hAnsi="times new roman"/>
          <w:sz w:val="20"/>
        </w:rPr>
        <w:t>4. This Third Amendment shall be and, as of the Amendment Date, is hereby incorporated in and forms a part of the 2021 Plan.</w:t>
      </w:r>
    </w:p>
    <w:p>
      <w:pPr>
        <w:pStyle w:val="TextBody"/>
        <w:bidi w:val="0"/>
        <w:spacing w:before="0" w:after="0"/>
        <w:ind w:left="0" w:right="0" w:hanging="0"/>
        <w:jc w:val="left"/>
        <w:rPr/>
      </w:pPr>
      <w:r>
        <w:rPr/>
        <w:t> </w:t>
      </w:r>
    </w:p>
    <w:p>
      <w:pPr>
        <w:pStyle w:val="TextBody"/>
        <w:bidi w:val="0"/>
        <w:spacing w:before="0" w:after="0"/>
        <w:ind w:left="1080" w:right="0" w:hanging="0"/>
        <w:jc w:val="both"/>
        <w:rPr>
          <w:rFonts w:ascii="times new roman" w:hAnsi="times new roman"/>
          <w:sz w:val="20"/>
        </w:rPr>
      </w:pPr>
      <w:r>
        <w:rPr>
          <w:rFonts w:ascii="times new roman" w:hAnsi="times new roman"/>
          <w:sz w:val="20"/>
        </w:rPr>
        <w:t>5. Except as expressly provided herein, all terms and conditions of the 2021 Plan shall remain in full force and effect.</w:t>
      </w:r>
    </w:p>
    <w:p>
      <w:pPr>
        <w:pStyle w:val="TextBody"/>
        <w:bidi w:val="0"/>
        <w:spacing w:before="0" w:after="0"/>
        <w:ind w:left="1080" w:right="0" w:hanging="0"/>
        <w:jc w:val="both"/>
        <w:rPr/>
      </w:pPr>
      <w:r>
        <w:rPr/>
        <w:t> </w:t>
      </w:r>
    </w:p>
    <w:tbl>
      <w:tblPr>
        <w:tblW w:w="215" w:type="dxa"/>
        <w:jc w:val="left"/>
        <w:tblInd w:w="0" w:type="dxa"/>
        <w:tblLayout w:type="fixed"/>
        <w:tblCellMar>
          <w:top w:w="0" w:type="dxa"/>
          <w:left w:w="0" w:type="dxa"/>
          <w:bottom w:w="0" w:type="dxa"/>
          <w:right w:w="0" w:type="dxa"/>
        </w:tblCellMar>
      </w:tblPr>
      <w:tblGrid>
        <w:gridCol w:w="215"/>
      </w:tblGrid>
      <w:tr>
        <w:trPr/>
        <w:tc>
          <w:tcPr>
            <w:tcW w:w="215" w:type="dxa"/>
            <w:tcBorders/>
            <w:vAlign w:val="center"/>
          </w:tcPr>
          <w:p>
            <w:pPr>
              <w:pStyle w:val="TableContents"/>
              <w:bidi w:val="0"/>
              <w:spacing w:before="0" w:after="283"/>
              <w:ind w:left="0" w:right="0" w:hanging="0"/>
              <w:jc w:val="left"/>
              <w:rPr/>
            </w:pPr>
            <w:r>
              <w:rPr/>
              <w:t> </w:t>
            </w:r>
          </w:p>
        </w:tc>
      </w:tr>
      <w:tr>
        <w:trPr/>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w:t>
            </w:r>
          </w:p>
        </w:tc>
      </w:tr>
      <w:tr>
        <w:trPr/>
        <w:tc>
          <w:tcPr>
            <w:tcW w:w="215" w:type="dxa"/>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WITNESS WHEREOF, the Company has caused this Third Amendment to be executed by its duly authorized officer as of the Amendment Date, being August 27, 2026, the date on which this Third Amendment was approved by the stockholders of the Company at the 2026 annual meeting of stockholders.</w:t>
      </w:r>
    </w:p>
    <w:p>
      <w:pPr>
        <w:pStyle w:val="TextBody"/>
        <w:bidi w:val="0"/>
        <w:spacing w:before="0" w:after="0"/>
        <w:ind w:left="0" w:right="0" w:hanging="0"/>
        <w:jc w:val="left"/>
        <w:rPr/>
      </w:pPr>
      <w:r>
        <w:rPr/>
        <w:t> </w:t>
      </w:r>
    </w:p>
    <w:tbl>
      <w:tblPr>
        <w:tblW w:w="4555" w:type="dxa"/>
        <w:jc w:val="left"/>
        <w:tblInd w:w="0" w:type="dxa"/>
        <w:tblLayout w:type="fixed"/>
        <w:tblCellMar>
          <w:top w:w="0" w:type="dxa"/>
          <w:left w:w="0" w:type="dxa"/>
          <w:bottom w:w="0" w:type="dxa"/>
          <w:right w:w="0" w:type="dxa"/>
        </w:tblCellMar>
      </w:tblPr>
      <w:tblGrid>
        <w:gridCol w:w="105"/>
        <w:gridCol w:w="665"/>
        <w:gridCol w:w="3650"/>
        <w:gridCol w:w="135"/>
      </w:tblGrid>
      <w:tr>
        <w:trPr/>
        <w:tc>
          <w:tcPr>
            <w:tcW w:w="105" w:type="dxa"/>
            <w:tcBorders/>
            <w:vAlign w:val="center"/>
          </w:tcPr>
          <w:p>
            <w:pPr>
              <w:pStyle w:val="TableContents"/>
              <w:bidi w:val="0"/>
              <w:spacing w:before="0" w:after="283"/>
              <w:jc w:val="left"/>
              <w:rPr/>
            </w:pPr>
            <w:r>
              <w:rPr/>
              <w:t> </w:t>
            </w:r>
          </w:p>
        </w:tc>
        <w:tc>
          <w:tcPr>
            <w:tcW w:w="4315" w:type="dxa"/>
            <w:gridSpan w:val="2"/>
            <w:tcBorders/>
            <w:vAlign w:val="center"/>
          </w:tcPr>
          <w:p>
            <w:pPr>
              <w:pStyle w:val="TableContents"/>
              <w:bidi w:val="0"/>
              <w:spacing w:before="0" w:after="283"/>
              <w:jc w:val="left"/>
              <w:rPr/>
            </w:pPr>
            <w:r>
              <w:rPr>
                <w:rStyle w:val="StrongEmphasis"/>
              </w:rPr>
              <w:t>PEDEVCO CORP.</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By:</w:t>
            </w:r>
          </w:p>
        </w:tc>
        <w:tc>
          <w:tcPr>
            <w:tcW w:w="3650" w:type="dxa"/>
            <w:tcBorders>
              <w:bottom w:val="single" w:sz="2" w:space="0" w:color="000000"/>
            </w:tcBorders>
            <w:tcMar>
              <w:bottom w:w="28" w:type="dxa"/>
            </w:tcMar>
            <w:vAlign w:val="center"/>
          </w:tcPr>
          <w:p>
            <w:pPr>
              <w:pStyle w:val="TableContents"/>
              <w:bidi w:val="0"/>
              <w:spacing w:before="0" w:after="283"/>
              <w:jc w:val="left"/>
              <w:rPr/>
            </w:pPr>
            <w:r>
              <w:rPr>
                <w:rStyle w:val="Emphasis"/>
              </w:rPr>
              <w:t>/s/ J. Douglas Schick</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3650" w:type="dxa"/>
            <w:tcBorders/>
            <w:vAlign w:val="center"/>
          </w:tcPr>
          <w:p>
            <w:pPr>
              <w:pStyle w:val="TableContents"/>
              <w:bidi w:val="0"/>
              <w:spacing w:before="0" w:after="283"/>
              <w:jc w:val="left"/>
              <w:rPr/>
            </w:pPr>
            <w:r>
              <w:rPr/>
              <w:t>J. Douglas Schick</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xml:space="preserve">Title:  </w:t>
            </w:r>
          </w:p>
        </w:tc>
        <w:tc>
          <w:tcPr>
            <w:tcW w:w="3650" w:type="dxa"/>
            <w:tcBorders/>
            <w:vAlign w:val="center"/>
          </w:tcPr>
          <w:p>
            <w:pPr>
              <w:pStyle w:val="TableContents"/>
              <w:bidi w:val="0"/>
              <w:spacing w:before="0" w:after="283"/>
              <w:jc w:val="left"/>
              <w:rPr/>
            </w:pPr>
            <w:r>
              <w:rPr/>
              <w:t>President and Chief Executive Officer</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Date: </w:t>
            </w:r>
          </w:p>
        </w:tc>
        <w:tc>
          <w:tcPr>
            <w:tcW w:w="3650" w:type="dxa"/>
            <w:tcBorders/>
            <w:vAlign w:val="center"/>
          </w:tcPr>
          <w:p>
            <w:pPr>
              <w:pStyle w:val="TableContents"/>
              <w:bidi w:val="0"/>
              <w:spacing w:before="0" w:after="283"/>
              <w:jc w:val="left"/>
              <w:rPr/>
            </w:pPr>
            <w:r>
              <w:rPr/>
              <w:t>August 27, 2026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215" w:type="dxa"/>
        <w:jc w:val="left"/>
        <w:tblInd w:w="0" w:type="dxa"/>
        <w:tblLayout w:type="fixed"/>
        <w:tblCellMar>
          <w:top w:w="0" w:type="dxa"/>
          <w:left w:w="0" w:type="dxa"/>
          <w:bottom w:w="0" w:type="dxa"/>
          <w:right w:w="0" w:type="dxa"/>
        </w:tblCellMar>
      </w:tblPr>
      <w:tblGrid>
        <w:gridCol w:w="215"/>
      </w:tblGrid>
      <w:tr>
        <w:trPr/>
        <w:tc>
          <w:tcPr>
            <w:tcW w:w="215" w:type="dxa"/>
            <w:tcBorders/>
            <w:vAlign w:val="center"/>
          </w:tcPr>
          <w:p>
            <w:pPr>
              <w:pStyle w:val="TableContents"/>
              <w:bidi w:val="0"/>
              <w:spacing w:before="0" w:after="283"/>
              <w:ind w:left="0" w:right="0" w:hanging="0"/>
              <w:jc w:val="left"/>
              <w:rPr/>
            </w:pPr>
            <w:r>
              <w:rPr/>
              <w:t> </w:t>
            </w:r>
          </w:p>
        </w:tc>
      </w:tr>
      <w:tr>
        <w:trPr/>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w:t>
            </w:r>
          </w:p>
        </w:tc>
      </w:tr>
    </w:tbl>
    <w:p>
      <w:pPr>
        <w:pStyle w:val="TextBody"/>
        <w:bidi w:val="0"/>
        <w:spacing w:before="0" w:after="0"/>
        <w:ind w:left="0" w:right="0" w:hanging="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41197/000165495421009655/ped_ex101.htm" TargetMode="External"/><Relationship Id="rId3" Type="http://schemas.openxmlformats.org/officeDocument/2006/relationships/hyperlink" Target="http://www.sec.gov/Archives/edgar/data/1141197/000165495421009655/ped_ex101.htm" TargetMode="External"/><Relationship Id="rId4" Type="http://schemas.openxmlformats.org/officeDocument/2006/relationships/hyperlink" Target="http://www.sec.gov/Archives/edgar/data/1141197/000165495424011344/ped_ex101.htm" TargetMode="External"/><Relationship Id="rId5" Type="http://schemas.openxmlformats.org/officeDocument/2006/relationships/hyperlink" Target="http://www.sec.gov/Archives/edgar/data/1141197/000165495424011344/ped_ex101.htm" TargetMode="External"/><Relationship Id="rId6" Type="http://schemas.openxmlformats.org/officeDocument/2006/relationships/hyperlink" Target="http://www.sec.gov/Archives/edgar/data/1141197/000165495425012450/ped_ex107.htm" TargetMode="External"/><Relationship Id="rId7" Type="http://schemas.openxmlformats.org/officeDocument/2006/relationships/hyperlink" Target="http://www.sec.gov/Archives/edgar/data/1141197/000165495425012450/ped_ex107.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2086</Words>
  <Characters>10950</Characters>
  <CharactersWithSpaces>13207</CharactersWithSpaces>
  <Paragraphs>497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