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t xml:space="preserve">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 xml:space="preserve">WASHINGTON, D.C. 20549 </w:t>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36"/>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 xml:space="preserve">CURRENT REPORT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 xml:space="preserve">Pursuant to Section 13 or 15(d) of the Securities Exchange Act of 1934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Fonts w:ascii="times new roman" w:hAnsi="times new roman"/>
          <w:sz w:val="20"/>
        </w:rPr>
        <w:t xml:space="preserve">Date of Report (Date of earliest event reported): </w:t>
      </w:r>
      <w:r>
        <w:rPr>
          <w:rStyle w:val="StrongEmphasis"/>
          <w:rFonts w:ascii="times new roman" w:hAnsi="times new roman"/>
          <w:sz w:val="20"/>
        </w:rPr>
        <w:t>September 20, 2026</w:t>
      </w:r>
    </w:p>
    <w:p>
      <w:pPr>
        <w:pStyle w:val="TextBody"/>
        <w:bidi w:val="0"/>
        <w:spacing w:before="0" w:after="0"/>
        <w:ind w:left="0" w:right="0" w:hanging="0"/>
        <w:jc w:val="center"/>
        <w:rPr/>
      </w:pPr>
      <w:r>
        <w:rPr/>
        <w:t> </w:t>
      </w:r>
    </w:p>
    <w:tbl>
      <w:tblPr>
        <w:tblW w:w="4505" w:type="dxa"/>
        <w:jc w:val="left"/>
        <w:tblInd w:w="0" w:type="dxa"/>
        <w:tblLayout w:type="fixed"/>
        <w:tblCellMar>
          <w:top w:w="0" w:type="dxa"/>
          <w:left w:w="0" w:type="dxa"/>
          <w:bottom w:w="28" w:type="dxa"/>
          <w:right w:w="0" w:type="dxa"/>
        </w:tblCellMar>
      </w:tblPr>
      <w:tblGrid>
        <w:gridCol w:w="4505"/>
      </w:tblGrid>
      <w:tr>
        <w:trPr/>
        <w:tc>
          <w:tcPr>
            <w:tcW w:w="450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505"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 xml:space="preserve">(Exact name of Registrant as Specified in Its Charter) </w:t>
            </w:r>
          </w:p>
        </w:tc>
      </w:tr>
    </w:tbl>
    <w:p>
      <w:pPr>
        <w:pStyle w:val="TextBody"/>
        <w:bidi w:val="0"/>
        <w:spacing w:before="0" w:after="0"/>
        <w:ind w:left="0" w:right="0" w:hanging="0"/>
        <w:jc w:val="left"/>
        <w:rPr/>
      </w:pPr>
      <w:r>
        <w:rPr/>
        <w:t> </w:t>
      </w:r>
    </w:p>
    <w:tbl>
      <w:tblPr>
        <w:tblW w:w="6330" w:type="dxa"/>
        <w:jc w:val="left"/>
        <w:tblInd w:w="0" w:type="dxa"/>
        <w:tblLayout w:type="fixed"/>
        <w:tblCellMar>
          <w:top w:w="0" w:type="dxa"/>
          <w:left w:w="0" w:type="dxa"/>
          <w:bottom w:w="28" w:type="dxa"/>
          <w:right w:w="0" w:type="dxa"/>
        </w:tblCellMar>
      </w:tblPr>
      <w:tblGrid>
        <w:gridCol w:w="2315"/>
        <w:gridCol w:w="90"/>
        <w:gridCol w:w="2225"/>
        <w:gridCol w:w="90"/>
        <w:gridCol w:w="1610"/>
      </w:tblGrid>
      <w:tr>
        <w:trPr/>
        <w:tc>
          <w:tcPr>
            <w:tcW w:w="231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2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r>
              <w:rPr>
                <w:rFonts w:ascii="times new roman" w:hAnsi="times new roman"/>
                <w:sz w:val="20"/>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315"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(State or Other Jurisdiction</w:t>
            </w:r>
          </w:p>
          <w:p>
            <w:pPr>
              <w:pStyle w:val="TableContents"/>
              <w:bidi w:val="0"/>
              <w:spacing w:before="0" w:after="0"/>
              <w:ind w:left="0" w:right="0" w:hanging="0"/>
              <w:jc w:val="center"/>
              <w:rPr/>
            </w:pPr>
            <w:r>
              <w:rPr>
                <w:rStyle w:val="Emphasis"/>
                <w:rFonts w:ascii="times new roman" w:hAnsi="times new roman"/>
                <w:sz w:val="20"/>
              </w:rPr>
              <w:t>of Incorporation)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225"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(Commission File Number)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(IRS Employer</w:t>
            </w:r>
          </w:p>
          <w:p>
            <w:pPr>
              <w:pStyle w:val="TableContents"/>
              <w:bidi w:val="0"/>
              <w:spacing w:before="0" w:after="0"/>
              <w:ind w:left="0" w:right="0" w:hanging="0"/>
              <w:jc w:val="center"/>
              <w:rPr/>
            </w:pPr>
            <w:r>
              <w:rPr>
                <w:rStyle w:val="Emphasis"/>
                <w:rFonts w:ascii="times new roman" w:hAnsi="times new roman"/>
                <w:sz w:val="20"/>
              </w:rPr>
              <w:t>Identification No.)</w:t>
            </w:r>
          </w:p>
        </w:tc>
      </w:tr>
    </w:tbl>
    <w:p>
      <w:pPr>
        <w:pStyle w:val="TextBody"/>
        <w:bidi w:val="0"/>
        <w:spacing w:before="0" w:after="0"/>
        <w:ind w:left="0" w:right="0" w:hanging="0"/>
        <w:jc w:val="left"/>
        <w:rPr/>
      </w:pPr>
      <w:r>
        <w:rPr/>
        <w:t xml:space="preserve">  </w:t>
      </w:r>
    </w:p>
    <w:tbl>
      <w:tblPr>
        <w:tblW w:w="3365" w:type="dxa"/>
        <w:jc w:val="left"/>
        <w:tblInd w:w="0" w:type="dxa"/>
        <w:tblLayout w:type="fixed"/>
        <w:tblCellMar>
          <w:top w:w="0" w:type="dxa"/>
          <w:left w:w="0" w:type="dxa"/>
          <w:bottom w:w="28" w:type="dxa"/>
          <w:right w:w="0" w:type="dxa"/>
        </w:tblCellMar>
      </w:tblPr>
      <w:tblGrid>
        <w:gridCol w:w="3365"/>
      </w:tblGrid>
      <w:tr>
        <w:trPr/>
        <w:tc>
          <w:tcPr>
            <w:tcW w:w="336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Houston, Texas 77079</w:t>
            </w:r>
          </w:p>
        </w:tc>
      </w:tr>
      <w:tr>
        <w:trPr/>
        <w:tc>
          <w:tcPr>
            <w:tcW w:w="3365" w:type="dxa"/>
            <w:tcBorders/>
            <w:tcMar>
              <w:bottom w:w="0" w:type="dxa"/>
            </w:tcMar>
            <w:vAlign w:val="center"/>
          </w:tcPr>
          <w:p>
            <w:pPr>
              <w:pStyle w:val="TableContents"/>
              <w:bidi w:val="0"/>
              <w:spacing w:before="0" w:after="0"/>
              <w:ind w:left="0" w:right="0" w:hanging="0"/>
              <w:jc w:val="center"/>
              <w:rPr/>
            </w:pPr>
            <w:r>
              <w:rPr>
                <w:rStyle w:val="Emphasis"/>
                <w:rFonts w:ascii="times new roman" w:hAnsi="times new roman"/>
                <w:sz w:val="20"/>
              </w:rPr>
              <w:t>(Address of Principal Executive Offices)</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rStyle w:val="StrongEmphasis"/>
          <w:rFonts w:ascii="times new roman" w:hAnsi="times new roman"/>
          <w:sz w:val="20"/>
        </w:rPr>
        <w:t>(713) 221-1768</w:t>
      </w:r>
    </w:p>
    <w:p>
      <w:pPr>
        <w:pStyle w:val="TextBody"/>
        <w:bidi w:val="0"/>
        <w:spacing w:before="0" w:after="0"/>
        <w:ind w:left="0" w:right="0" w:hanging="0"/>
        <w:jc w:val="center"/>
        <w:rPr/>
      </w:pPr>
      <w:r>
        <w:rPr>
          <w:rStyle w:val="Emphasis"/>
          <w:rFonts w:ascii="times new roman" w:hAnsi="times new roman"/>
          <w:sz w:val="20"/>
        </w:rPr>
        <w:t>(Registrant’s Telephone Number, Including Area Code)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____________________________________________________________</w:t>
      </w:r>
    </w:p>
    <w:p>
      <w:pPr>
        <w:pStyle w:val="TextBody"/>
        <w:bidi w:val="0"/>
        <w:spacing w:before="0" w:after="0"/>
        <w:ind w:left="0" w:right="0" w:hanging="0"/>
        <w:jc w:val="center"/>
        <w:rPr/>
      </w:pPr>
      <w:r>
        <w:rPr>
          <w:rStyle w:val="Emphasis"/>
          <w:rFonts w:ascii="times new roman" w:hAnsi="times new roman"/>
          <w:sz w:val="20"/>
        </w:rPr>
        <w:t xml:space="preserve">(Former Name or Former Address, if Changed Since Last Report)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pPr>
      <w:r>
        <w:rPr/>
        <w:t> </w:t>
      </w:r>
    </w:p>
    <w:tbl>
      <w:tblPr>
        <w:tblW w:w="7630" w:type="dxa"/>
        <w:jc w:val="left"/>
        <w:tblInd w:w="0" w:type="dxa"/>
        <w:tblLayout w:type="fixed"/>
        <w:tblCellMar>
          <w:top w:w="0" w:type="dxa"/>
          <w:left w:w="0" w:type="dxa"/>
          <w:bottom w:w="0" w:type="dxa"/>
          <w:right w:w="0" w:type="dxa"/>
        </w:tblCellMar>
      </w:tblPr>
      <w:tblGrid>
        <w:gridCol w:w="275"/>
        <w:gridCol w:w="7355"/>
      </w:tblGrid>
      <w:tr>
        <w:trPr/>
        <w:tc>
          <w:tcPr>
            <w:tcW w:w="275" w:type="dxa"/>
            <w:tcBorders/>
            <w:vAlign w:val="center"/>
          </w:tcPr>
          <w:p>
            <w:pPr>
              <w:pStyle w:val="TableContents"/>
              <w:bidi w:val="0"/>
              <w:spacing w:before="0" w:after="0"/>
              <w:ind w:left="0" w:right="0" w:hanging="0"/>
              <w:jc w:val="left"/>
              <w:rPr/>
            </w:pPr>
            <w:r>
              <w:rPr/>
              <w:t>☐</w:t>
            </w:r>
          </w:p>
        </w:tc>
        <w:tc>
          <w:tcPr>
            <w:tcW w:w="73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ind w:left="0" w:right="0" w:hanging="0"/>
        <w:jc w:val="left"/>
        <w:rPr/>
      </w:pPr>
      <w:r>
        <w:rPr/>
        <w:t> </w:t>
      </w:r>
    </w:p>
    <w:tbl>
      <w:tblPr>
        <w:tblW w:w="7660" w:type="dxa"/>
        <w:jc w:val="left"/>
        <w:tblInd w:w="0" w:type="dxa"/>
        <w:tblLayout w:type="fixed"/>
        <w:tblCellMar>
          <w:top w:w="0" w:type="dxa"/>
          <w:left w:w="0" w:type="dxa"/>
          <w:bottom w:w="0" w:type="dxa"/>
          <w:right w:w="0" w:type="dxa"/>
        </w:tblCellMar>
      </w:tblPr>
      <w:tblGrid>
        <w:gridCol w:w="275"/>
        <w:gridCol w:w="7385"/>
      </w:tblGrid>
      <w:tr>
        <w:trPr/>
        <w:tc>
          <w:tcPr>
            <w:tcW w:w="275" w:type="dxa"/>
            <w:tcBorders/>
            <w:vAlign w:val="center"/>
          </w:tcPr>
          <w:p>
            <w:pPr>
              <w:pStyle w:val="TableContents"/>
              <w:bidi w:val="0"/>
              <w:spacing w:before="0" w:after="0"/>
              <w:ind w:left="0" w:right="0" w:hanging="0"/>
              <w:jc w:val="left"/>
              <w:rPr/>
            </w:pPr>
            <w:r>
              <w:rPr/>
              <w:t>☐</w:t>
            </w:r>
          </w:p>
        </w:tc>
        <w:tc>
          <w:tcPr>
            <w:tcW w:w="73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ind w:left="0" w:right="0" w:hanging="0"/>
        <w:jc w:val="left"/>
        <w:rPr/>
      </w:pPr>
      <w:r>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left"/>
              <w:rPr/>
            </w:pPr>
            <w:r>
              <w:rPr/>
              <w:t>☐</w:t>
            </w:r>
          </w:p>
        </w:tc>
        <w:tc>
          <w:tcPr>
            <w:tcW w:w="9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ind w:left="0" w:right="0" w:hanging="0"/>
        <w:jc w:val="left"/>
        <w:rPr/>
      </w:pPr>
      <w:r>
        <w:rPr/>
        <w:t> </w:t>
      </w:r>
    </w:p>
    <w:tbl>
      <w:tblPr>
        <w:tblW w:w="9340" w:type="dxa"/>
        <w:jc w:val="left"/>
        <w:tblInd w:w="0" w:type="dxa"/>
        <w:tblLayout w:type="fixed"/>
        <w:tblCellMar>
          <w:top w:w="0" w:type="dxa"/>
          <w:left w:w="0" w:type="dxa"/>
          <w:bottom w:w="0" w:type="dxa"/>
          <w:right w:w="0" w:type="dxa"/>
        </w:tblCellMar>
      </w:tblPr>
      <w:tblGrid>
        <w:gridCol w:w="275"/>
        <w:gridCol w:w="9065"/>
      </w:tblGrid>
      <w:tr>
        <w:trPr/>
        <w:tc>
          <w:tcPr>
            <w:tcW w:w="275" w:type="dxa"/>
            <w:tcBorders/>
            <w:vAlign w:val="center"/>
          </w:tcPr>
          <w:p>
            <w:pPr>
              <w:pStyle w:val="TableContents"/>
              <w:bidi w:val="0"/>
              <w:spacing w:before="0" w:after="0"/>
              <w:ind w:left="0" w:right="0" w:hanging="0"/>
              <w:jc w:val="left"/>
              <w:rPr/>
            </w:pPr>
            <w:r>
              <w:rPr/>
              <w:t>☐</w:t>
            </w:r>
          </w:p>
        </w:tc>
        <w:tc>
          <w:tcPr>
            <w:tcW w:w="90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9105" w:type="dxa"/>
        <w:jc w:val="left"/>
        <w:tblInd w:w="0" w:type="dxa"/>
        <w:tblLayout w:type="fixed"/>
        <w:tblCellMar>
          <w:top w:w="30" w:type="dxa"/>
          <w:left w:w="30" w:type="dxa"/>
          <w:bottom w:w="0" w:type="dxa"/>
          <w:right w:w="0" w:type="dxa"/>
        </w:tblCellMar>
      </w:tblPr>
      <w:tblGrid>
        <w:gridCol w:w="3770"/>
        <w:gridCol w:w="1625"/>
        <w:gridCol w:w="3710"/>
      </w:tblGrid>
      <w:tr>
        <w:trPr/>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62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371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rPr/>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Common Stock, $0.001 par value per share</w:t>
            </w:r>
          </w:p>
        </w:tc>
        <w:tc>
          <w:tcPr>
            <w:tcW w:w="162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PED</w:t>
            </w:r>
          </w:p>
        </w:tc>
        <w:tc>
          <w:tcPr>
            <w:tcW w:w="371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NYSE American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pPr>
      <w:r>
        <w:rPr/>
        <w:t xml:space="preserve">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Chief Executive Officer Transition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September 21, 2026 (the “</w:t>
      </w:r>
      <w:r>
        <w:rPr>
          <w:rFonts w:ascii="times new roman" w:hAnsi="times new roman"/>
          <w:sz w:val="20"/>
          <w:u w:val="single"/>
        </w:rPr>
        <w:t>Transition Date</w:t>
      </w:r>
      <w:r>
        <w:rPr>
          <w:rFonts w:ascii="times new roman" w:hAnsi="times new roman"/>
          <w:sz w:val="20"/>
        </w:rPr>
        <w:t>”), PEDEVCO Corp. (the “</w:t>
      </w:r>
      <w:r>
        <w:rPr>
          <w:rFonts w:ascii="times new roman" w:hAnsi="times new roman"/>
          <w:sz w:val="20"/>
          <w:u w:val="single"/>
        </w:rPr>
        <w:t>Company</w:t>
      </w:r>
      <w:r>
        <w:rPr>
          <w:rFonts w:ascii="times new roman" w:hAnsi="times new roman"/>
          <w:sz w:val="20"/>
        </w:rPr>
        <w:t>”) announced that J. Douglas Schick had ceased to serve as the Company’s President and Chief Executive Officer and a member of the Company’s Board of Directors. Reagan Tuck (R.T.) Dukes, the Company’s Chief Operating Officer, was appointed as the Company’s interim President and Chief Executive Officer, effective as of the Transition Date. Mr. Schick will remain employed by the Company and provide transition services through December 31, 2026 (the “</w:t>
      </w:r>
      <w:r>
        <w:rPr>
          <w:rFonts w:ascii="times new roman" w:hAnsi="times new roman"/>
          <w:sz w:val="20"/>
          <w:u w:val="single"/>
        </w:rPr>
        <w:t>Separation Date</w:t>
      </w:r>
      <w:r>
        <w:rPr>
          <w:rFonts w:ascii="times new roman" w:hAnsi="times new roman"/>
          <w:sz w:val="20"/>
        </w:rPr>
        <w:t>”), at which time his employment will end. Mr. Schick’s transition is not due to any disagreement with the Company or on any matter related to the Company’s operations, policies or practices. The Company is grateful for Mr. Schick’s leadership and significant contributions to the Company over the years and wishes him all the best in his next chapter.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Mr. Dukes, age 42, has over 20 years of experience in the oil and gas industry, with extensive experience in oil and gas investing, finance, operations, research, and consulting. Since the Company’s merger with certain portfolio companies controlled by Juniper Capital Advisors, L.P. in 2025, Mr. Dukes has served as the Chief Operating Officer of the Company.  Prior to joining the Company in October 2025, from October 2019 to May 2021, Mr. Dukes served as Chief Financial Officer, and from June 2021 to October 2025, as the Chief Executive Officer, of Century Natural Resources, LLC, a privately held Houston, Texas-based oil and gas exploration and production company that previously managed the assets acquired by the Company in October 2025 pursuant to the Company’s mergers with North Peak Oil &amp; Gas, LLC and Century Oil and Gas Sub-Holdings, LLC. Prior to Century Natural Resources, from June 2014 to September 2019, Mr. Dukes served as a Research Director and Director of North American Supply at the Houston, Texas office of Wood Mackenzie Limited, a global energy research and consulting group, where he supported commodities research and contributed to valuation and due-diligence work that accounted for billions of dollars in transactions. Before joining Wood Mackenzie, from May 2011 to May 2014, Mr. Dukes worked as a Manager at KED Interests, LLC, a Houston, Texas-based mineral investing firm.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Mr. Dukes earned his BS in Accounting and MS in Finance from Texas A&amp;M University. He also serves on the advisory board for the Professional Program in Accounting at Texas A&amp;M University.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Mr. Dukes was not selected pursuant to any arrangement or understanding between him and any other person. Mr. Dukes does not have any family relationships with any director or executive officer of the Company, and there are no transactions in which Mr. Dukes has an interest requiring disclosure under Item 404(a) of Regulation 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connection with Mr. Schick’s transition, the Company has entered into a transition and separation agreement and general release of claims with Mr. Schick (the “</w:t>
      </w:r>
      <w:r>
        <w:rPr>
          <w:rFonts w:ascii="times new roman" w:hAnsi="times new roman"/>
          <w:sz w:val="20"/>
          <w:u w:val="single"/>
        </w:rPr>
        <w:t>Transition Agreement</w:t>
      </w:r>
      <w:r>
        <w:rPr>
          <w:rFonts w:ascii="times new roman" w:hAnsi="times new roman"/>
          <w:sz w:val="20"/>
        </w:rPr>
        <w:t xml:space="preserve">”), pursuant to which he will serve as a non-executive Senior Advisor of the Company through the Separation Date. The Separation Agreement provides Mr. Schick with the separation payments and benefits set forth under his employment agreement with the Company (consisting of 2.5 times the sum of his annual base salary and target annual bonus, Company payment or reimbursement of premiums for continuation coverage under the Company’s group health plans for up to 30 months following the Separation Date, and accelerated vesting of his unvested Company equity awards), as well as a cash payment of $255,000 in lieu of any 2026 annual bonus, reimbursement of up to $10,000 in documented legal fees incurred by him in connection with the review of the Separation Agreement, and if the Company terminates his employment for any reason other than for cause prior to the Separation Date, he will receive the compensation, benefits and vesting that he would have received if his employment continued through the Separation Date. The Separation Agreement also includes certain customary covenants and a general release of claims in favor of the Company and its affiliates.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9.01. 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 Exhibits</w:t>
      </w:r>
    </w:p>
    <w:p>
      <w:pPr>
        <w:pStyle w:val="TextBody"/>
        <w:bidi w:val="0"/>
        <w:spacing w:before="0" w:after="0"/>
        <w:ind w:left="0" w:right="0" w:hanging="0"/>
        <w:jc w:val="both"/>
        <w:rPr/>
      </w:pPr>
      <w:r>
        <w:rPr/>
        <w:t> </w:t>
      </w:r>
    </w:p>
    <w:tbl>
      <w:tblPr>
        <w:tblW w:w="8065" w:type="dxa"/>
        <w:jc w:val="left"/>
        <w:tblInd w:w="0" w:type="dxa"/>
        <w:tblLayout w:type="fixed"/>
        <w:tblCellMar>
          <w:top w:w="0" w:type="dxa"/>
          <w:left w:w="0" w:type="dxa"/>
          <w:bottom w:w="28" w:type="dxa"/>
          <w:right w:w="0" w:type="dxa"/>
        </w:tblCellMar>
      </w:tblPr>
      <w:tblGrid>
        <w:gridCol w:w="1430"/>
        <w:gridCol w:w="90"/>
        <w:gridCol w:w="6545"/>
      </w:tblGrid>
      <w:tr>
        <w:trPr/>
        <w:tc>
          <w:tcPr>
            <w:tcW w:w="1430"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Exhibit Number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654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r>
      <w:tr>
        <w:trPr/>
        <w:tc>
          <w:tcPr>
            <w:tcW w:w="143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6545" w:type="dxa"/>
            <w:tcBorders/>
            <w:tcMar>
              <w:bottom w:w="0" w:type="dxa"/>
            </w:tcMar>
            <w:vAlign w:val="center"/>
          </w:tcPr>
          <w:p>
            <w:pPr>
              <w:pStyle w:val="TableContents"/>
              <w:bidi w:val="0"/>
              <w:spacing w:before="0" w:after="0"/>
              <w:ind w:left="0" w:right="0" w:hanging="0"/>
              <w:jc w:val="left"/>
              <w:rPr/>
            </w:pPr>
            <w:r>
              <w:rPr/>
              <w:t> </w:t>
            </w:r>
          </w:p>
        </w:tc>
      </w:tr>
      <w:tr>
        <w:trPr/>
        <w:tc>
          <w:tcPr>
            <w:tcW w:w="143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654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ind w:left="0" w:right="0" w:hanging="0"/>
        <w:jc w:val="both"/>
        <w:rPr/>
      </w:pPr>
      <w:r>
        <w:rPr/>
        <w:t>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r>
      <w:tr>
        <w:trPr/>
        <w:tc>
          <w:tcPr>
            <w:tcW w:w="215" w:type="dxa"/>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SIGNATURE</w:t>
      </w:r>
    </w:p>
    <w:p>
      <w:pPr>
        <w:pStyle w:val="TextBody"/>
        <w:bidi w:val="0"/>
        <w:spacing w:before="0" w:after="0"/>
        <w:ind w:left="0" w:right="0" w:hanging="0"/>
        <w:jc w:val="left"/>
        <w:rPr/>
      </w:pPr>
      <w:r>
        <w:rPr/>
        <w:t> </w:t>
      </w:r>
    </w:p>
    <w:p>
      <w:pPr>
        <w:pStyle w:val="TextBody"/>
        <w:bidi w:val="0"/>
        <w:spacing w:before="0" w:after="0"/>
        <w:ind w:left="0" w:right="0" w:firstLine="462"/>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7590" w:type="dxa"/>
        <w:jc w:val="left"/>
        <w:tblInd w:w="0" w:type="dxa"/>
        <w:tblLayout w:type="fixed"/>
        <w:tblCellMar>
          <w:top w:w="0" w:type="dxa"/>
          <w:left w:w="0" w:type="dxa"/>
          <w:bottom w:w="0" w:type="dxa"/>
          <w:right w:w="0" w:type="dxa"/>
        </w:tblCellMar>
      </w:tblPr>
      <w:tblGrid>
        <w:gridCol w:w="2165"/>
        <w:gridCol w:w="575"/>
        <w:gridCol w:w="4715"/>
        <w:gridCol w:w="135"/>
      </w:tblGrid>
      <w:tr>
        <w:trPr/>
        <w:tc>
          <w:tcPr>
            <w:tcW w:w="2165" w:type="dxa"/>
            <w:tcBorders/>
            <w:vAlign w:val="center"/>
          </w:tcPr>
          <w:p>
            <w:pPr>
              <w:pStyle w:val="TableContents"/>
              <w:bidi w:val="0"/>
              <w:spacing w:before="0" w:after="0"/>
              <w:ind w:left="0" w:right="0" w:hanging="0"/>
              <w:jc w:val="left"/>
              <w:rPr/>
            </w:pPr>
            <w:r>
              <w:rPr/>
              <w:t> </w:t>
            </w:r>
          </w:p>
        </w:tc>
        <w:tc>
          <w:tcPr>
            <w:tcW w:w="5290"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216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pPr>
            <w:r>
              <w:rPr/>
              <w:t> </w:t>
            </w:r>
          </w:p>
        </w:tc>
        <w:tc>
          <w:tcPr>
            <w:tcW w:w="471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21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September 21, 2026</w:t>
            </w:r>
          </w:p>
        </w:tc>
        <w:tc>
          <w:tcPr>
            <w:tcW w:w="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471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Clark R. Moore</w:t>
            </w:r>
          </w:p>
        </w:tc>
        <w:tc>
          <w:tcPr>
            <w:tcW w:w="135" w:type="dxa"/>
            <w:tcBorders/>
            <w:vAlign w:val="center"/>
          </w:tcPr>
          <w:p>
            <w:pPr>
              <w:pStyle w:val="TableContents"/>
              <w:bidi w:val="0"/>
              <w:spacing w:before="0" w:after="0"/>
              <w:ind w:left="0" w:right="0" w:hanging="0"/>
              <w:jc w:val="left"/>
              <w:rPr/>
            </w:pPr>
            <w:r>
              <w:rPr/>
              <w:t> </w:t>
            </w:r>
          </w:p>
        </w:tc>
      </w:tr>
      <w:tr>
        <w:trPr/>
        <w:tc>
          <w:tcPr>
            <w:tcW w:w="216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47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Clark R. Moore</w:t>
            </w:r>
          </w:p>
        </w:tc>
        <w:tc>
          <w:tcPr>
            <w:tcW w:w="135" w:type="dxa"/>
            <w:tcBorders/>
            <w:vAlign w:val="center"/>
          </w:tcPr>
          <w:p>
            <w:pPr>
              <w:pStyle w:val="TableContents"/>
              <w:bidi w:val="0"/>
              <w:spacing w:before="0" w:after="0"/>
              <w:ind w:left="0" w:right="0" w:hanging="0"/>
              <w:jc w:val="left"/>
              <w:rPr/>
            </w:pPr>
            <w:r>
              <w:rPr/>
              <w:t> </w:t>
            </w:r>
          </w:p>
        </w:tc>
      </w:tr>
      <w:tr>
        <w:trPr/>
        <w:tc>
          <w:tcPr>
            <w:tcW w:w="216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47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Executive Vice President, General Counsel and Secretary </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1070</Words>
  <Characters>5846</Characters>
  <CharactersWithSpaces>6934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